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76.svg" ContentType="image/svg+xml"/>
  <Override PartName="/word/media/rId57.png" ContentType="image/png"/>
  <Override PartName="/word/media/rId31.png" ContentType="image/png"/>
  <Override PartName="/word/media/rId76.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técnico (desarrolladores y arquitectos de software)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22"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24"/>
    <w:bookmarkStart w:id="25"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25"/>
    <w:bookmarkEnd w:id="26"/>
    <w:bookmarkStart w:id="29" w:name="X3b064709b715aa72af87e979a6f3d82392ca678"/>
    <w:p>
      <w:pPr>
        <w:pStyle w:val="Heading2"/>
      </w:pPr>
      <w:r>
        <w:t xml:space="preserve">6. Alcance Técnico</w:t>
      </w:r>
    </w:p>
    <w:bookmarkStart w:id="27"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27"/>
    <w:bookmarkStart w:id="28"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28"/>
    <w:bookmarkEnd w:id="29"/>
    <w:bookmarkStart w:id="36" w:name="X95d8c97275c8f81a939e1c762cd97d9839d709e"/>
    <w:p>
      <w:pPr>
        <w:pStyle w:val="Heading2"/>
      </w:pPr>
      <w:r>
        <w:t xml:space="preserve">7. Descripción General del Sistema</w:t>
      </w:r>
    </w:p>
    <w:bookmarkStart w:id="30"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30"/>
    <w:bookmarkStart w:id="34"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3667125"/>
            <wp:effectExtent b="0" l="0" r="0" t="0"/>
            <wp:docPr descr="Diagrama de contenedores del sistema Vehicle Washing" title="" id="32" name="Picture"/>
            <a:graphic>
              <a:graphicData uri="http://schemas.openxmlformats.org/drawingml/2006/picture">
                <pic:pic>
                  <pic:nvPicPr>
                    <pic:cNvPr descr="capturas/architectur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34"/>
    <w:bookmarkStart w:id="35"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35"/>
    <w:bookmarkEnd w:id="36"/>
    <w:bookmarkStart w:id="37"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w:t>
            </w:r>
          </w:p>
        </w:tc>
        <w:tc>
          <w:tcPr/>
          <w:p>
            <w:pPr>
              <w:pStyle w:val="Compact"/>
            </w:pPr>
            <w:r>
              <w:t xml:space="preserve">Mediante el Maven Wrapper,</w:t>
            </w:r>
            <w:r>
              <w:t xml:space="preserve"> </w:t>
            </w:r>
            <w:r>
              <w:rPr>
                <w:i/>
                <w:iCs/>
              </w:rPr>
              <w:t xml:space="preserve">dotnet test</w:t>
            </w:r>
            <w:r>
              <w:t xml:space="preserve"> </w:t>
            </w:r>
            <w:r>
              <w:t xml:space="preserve">y</w:t>
            </w:r>
            <w:r>
              <w:t xml:space="preserve"> </w:t>
            </w:r>
            <w:r>
              <w:rPr>
                <w:i/>
                <w:iCs/>
              </w:rPr>
              <w:t xml:space="preserve">ng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w:t>
            </w:r>
            <w:r>
              <w:t xml:space="preserve"> </w:t>
            </w:r>
            <w:r>
              <w:rPr>
                <w:i/>
                <w:iCs/>
              </w:rPr>
              <w:t xml:space="preserve">develop</w:t>
            </w:r>
            <w:r>
              <w:t xml:space="preserve"> </w:t>
            </w:r>
            <w:r>
              <w:t xml:space="preserve">y</w:t>
            </w:r>
            <w:r>
              <w:t xml:space="preserve"> </w:t>
            </w:r>
            <w:r>
              <w:rPr>
                <w:i/>
                <w:iCs/>
              </w:rPr>
              <w:t xml:space="preserve">feature/*</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despliegue manual a Azure</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37"/>
    <w:bookmarkStart w:id="50" w:name="Xcade969bd530bb91cbb218181cc2a6239e914ce"/>
    <w:p>
      <w:pPr>
        <w:pStyle w:val="Heading2"/>
      </w:pPr>
      <w:r>
        <w:t xml:space="preserve">9. Arquitectura del Sistema</w:t>
      </w:r>
    </w:p>
    <w:bookmarkStart w:id="38"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38"/>
    <w:bookmarkStart w:id="39"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valida tokens</w:t>
      </w:r>
      <w:r>
        <w:t xml:space="preserve">: cada servicio verifica el JWT por sí mismo (ADR-006). No tiene base de datos, caché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39"/>
    <w:bookmarkStart w:id="40"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40"/>
    <w:bookmarkStart w:id="43" w:name="Xa83801a3bf1c8870797ef0f75b1b528e24f16ef"/>
    <w:p>
      <w:pPr>
        <w:pStyle w:val="Heading3"/>
      </w:pPr>
      <w:r>
        <w:t xml:space="preserve">9.4 Comunicación entre Componentes</w:t>
      </w:r>
    </w:p>
    <w:bookmarkStart w:id="41"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y /internal/v1/bookings/{id}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41"/>
    <w:bookmarkStart w:id="42"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42"/>
    <w:bookmarkEnd w:id="43"/>
    <w:bookmarkStart w:id="49" w:name="X8ff6d818c42242ca0f555ab92df763b046e1d2b"/>
    <w:p>
      <w:pPr>
        <w:pStyle w:val="Heading3"/>
      </w:pPr>
      <w:r>
        <w:t xml:space="preserve">9.5 Aspectos Transversales</w:t>
      </w:r>
    </w:p>
    <w:bookmarkStart w:id="44"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44"/>
    <w:bookmarkStart w:id="45"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Cada caso de uso abre una transacción local que solo escribe los esquemas de su propio servicio; no hay transacciones distribuidas.</w:t>
      </w:r>
    </w:p>
    <w:bookmarkEnd w:id="45"/>
    <w:bookmarkStart w:id="46"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Autenticación ausente, no válida o vencida.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46"/>
    <w:bookmarkStart w:id="47"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47"/>
    <w:bookmarkStart w:id="48"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48"/>
    <w:bookmarkEnd w:id="49"/>
    <w:bookmarkEnd w:id="50"/>
    <w:bookmarkStart w:id="56" w:name="X6c6d0a25c1a26afb8672b5f4fb6ef91c6ca0e09"/>
    <w:p>
      <w:pPr>
        <w:pStyle w:val="Heading2"/>
      </w:pPr>
      <w:r>
        <w:t xml:space="preserve">10. Estructura del Proyecto</w:t>
      </w:r>
    </w:p>
    <w:bookmarkStart w:id="51"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51"/>
    <w:bookmarkStart w:id="52"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52"/>
    <w:bookmarkStart w:id="53"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bookmarkEnd w:id="54"/>
    <w:bookmarkStart w:id="55" w:name="Xaa6065e37e3accd9dc777cb8a13061544eef53b"/>
    <w:p>
      <w:pPr>
        <w:pStyle w:val="Heading3"/>
      </w:pPr>
      <w:r>
        <w:t xml:space="preserve">10.5 Estructura de la Aplicación Móvil</w:t>
      </w:r>
    </w:p>
    <w:p>
      <w:pPr>
        <w:pStyle w:val="FirstParagraph"/>
      </w:pPr>
      <w:r>
        <w:t xml:space="preserve">La aplicación móvil se organiza en</w:t>
      </w:r>
      <w:r>
        <w:t xml:space="preserve"> </w:t>
      </w:r>
      <w:r>
        <w:rPr>
          <w:i/>
          <w:iCs/>
        </w:rPr>
        <w:t xml:space="preserve">src/modules</w:t>
      </w:r>
      <w:r>
        <w:t xml:space="preserve"> </w:t>
      </w:r>
      <w:r>
        <w:t xml:space="preserve">por rol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w:t>
      </w:r>
      <w:r>
        <w:t xml:space="preserve">y</w:t>
      </w:r>
      <w:r>
        <w:t xml:space="preserve"> </w:t>
      </w:r>
      <w:r>
        <w:rPr>
          <w:i/>
          <w:iCs/>
        </w:rPr>
        <w:t xml:space="preserve">admin</w:t>
      </w:r>
      <w:r>
        <w:t xml:space="preserve">, cada uno con sus</w:t>
      </w:r>
      <w:r>
        <w:t xml:space="preserve"> </w:t>
      </w:r>
      <w:r>
        <w:rPr>
          <w:i/>
          <w:iCs/>
        </w:rPr>
        <w:t xml:space="preserve">screens</w:t>
      </w:r>
      <w:r>
        <w:t xml:space="preserve">),</w:t>
      </w:r>
      <w:r>
        <w:t xml:space="preserve"> </w:t>
      </w:r>
      <w:r>
        <w:rPr>
          <w:i/>
          <w:iCs/>
        </w:rPr>
        <w:t xml:space="preserve">src/shared</w:t>
      </w:r>
      <w:r>
        <w:t xml:space="preserve"> </w:t>
      </w:r>
      <w:r>
        <w:t xml:space="preserve">(componentes y pantallas compartidas de notificaciones, perfil y configuración) y</w:t>
      </w:r>
      <w:r>
        <w:t xml:space="preserve"> </w:t>
      </w:r>
      <w:r>
        <w:rPr>
          <w:i/>
          <w:iCs/>
        </w:rPr>
        <w:t xml:space="preserve">src/app/config/locales</w:t>
      </w:r>
      <w:r>
        <w:t xml:space="preserve"> </w:t>
      </w:r>
      <w:r>
        <w:t xml:space="preserve">(es, en, fr y pt). Todas las llamadas van al gateway mediante</w:t>
      </w:r>
      <w:r>
        <w:t xml:space="preserve"> </w:t>
      </w:r>
      <w:r>
        <w:rPr>
          <w:i/>
          <w:iCs/>
        </w:rPr>
        <w:t xml:space="preserve">EXPO_PUBLIC_API_URL</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bookmarkEnd w:id="55"/>
    <w:bookmarkEnd w:id="56"/>
    <w:bookmarkStart w:id="68"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60"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05abb2a0f7679380d57c0428f7d58bcbeae5d33"/>
    <w:p>
      <w:pPr>
        <w:pStyle w:val="Heading3"/>
      </w:pPr>
      <w:r>
        <w:t xml:space="preserve">11.2 Tablas Principales</w:t>
      </w:r>
    </w:p>
    <w:bookmarkStart w:id="61"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61"/>
    <w:bookmarkStart w:id="62"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62"/>
    <w:bookmarkStart w:id="63"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63"/>
    <w:bookmarkEnd w:id="64"/>
    <w:bookmarkStart w:id="65"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y 037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tipos (de cliente, de personal, de pago, de fidelización, de inspección, de reserva sin operario, de versión nueva de la app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65"/>
    <w:bookmarkStart w:id="66"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Solo el operario asignado inicia o finaliza; solo el día de la reserva; un servicio a la vez.</w:t>
            </w:r>
          </w:p>
        </w:tc>
        <w:tc>
          <w:tcPr/>
          <w:p>
            <w:pPr>
              <w:pStyle w:val="Compact"/>
            </w:pPr>
            <w:r>
              <w:t xml:space="preserve">operations-service.</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66"/>
    <w:bookmarkStart w:id="67"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a 109 semillas), salvo en payment-service, que usa su propia numeración 001 a 020 (TD-019). El número más alto de la numeración global es 030; el siguiente changeset compartido es el 031. La lista de changelogs de cada servicio está en el Manual de Instalación, sección 11.2.</w:t>
      </w:r>
    </w:p>
    <w:bookmarkEnd w:id="67"/>
    <w:bookmarkEnd w:id="68"/>
    <w:bookmarkStart w:id="80" w:name="X5336dbf235dc64b31da6708149e2e592fd888c8"/>
    <w:p>
      <w:pPr>
        <w:pStyle w:val="Heading2"/>
      </w:pPr>
      <w:r>
        <w:t xml:space="preserve">12. Módulos Técnicos</w:t>
      </w:r>
    </w:p>
    <w:bookmarkStart w:id="69"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69"/>
    <w:bookmarkStart w:id="70"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70"/>
    <w:bookmarkStart w:id="71"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w:t>
      </w:r>
      <w:r>
        <w:t xml:space="preserve"> </w:t>
      </w:r>
      <w:r>
        <w:rPr>
          <w:b/>
          <w:bCs/>
        </w:rPr>
        <w:t xml:space="preserve">Eventos:</w:t>
      </w:r>
      <w:r>
        <w:t xml:space="preserve"> </w:t>
      </w:r>
      <w:r>
        <w:t xml:space="preserve">publica BookingConfirmed (creada o reprogramada) y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e InspectionShared.</w:t>
      </w:r>
    </w:p>
    <w:bookmarkEnd w:id="72"/>
    <w:bookmarkStart w:id="73"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pago que reporta el cliente pasa directamente a IN_REVIEW con el monto declarado; una referencia de transacción reutilizada se rechaza;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bookmarkEnd w:id="73"/>
    <w:bookmarkStart w:id="74"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74"/>
    <w:bookmarkStart w:id="75"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w:t>
      </w:r>
    </w:p>
    <w:bookmarkEnd w:id="75"/>
    <w:bookmarkStart w:id="79"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2580967"/>
            <wp:effectExtent b="0" l="0" r="0" t="0"/>
            <wp:docPr descr="Diagrama de estados de la reserva" title="" id="77" name="Picture"/>
            <a:graphic>
              <a:graphicData uri="http://schemas.openxmlformats.org/drawingml/2006/picture">
                <pic:pic>
                  <pic:nvPicPr>
                    <pic:cNvPr descr="capturas/booking-state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p>
    <w:bookmarkEnd w:id="79"/>
    <w:bookmarkEnd w:id="80"/>
    <w:bookmarkStart w:id="87"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81"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81"/>
    <w:bookmarkStart w:id="82"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antes de su vencimiento (Jones et al., 2015); cerrar la sesión solo cierra el registro de la sesión. Todo servicio valida la firma, el emisor y la audiencia con el mismo secreto.</w:t>
      </w:r>
    </w:p>
    <w:bookmarkEnd w:id="82"/>
    <w:bookmarkStart w:id="84"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83"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83"/>
    <w:bookmarkEnd w:id="84"/>
    <w:bookmarkStart w:id="85"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(enlazado)</w:t>
            </w:r>
          </w:p>
        </w:tc>
        <w:tc>
          <w:tcPr/>
          <w:p>
            <w:pPr>
              <w:pStyle w:val="Compact"/>
            </w:pPr>
            <w:r>
              <w:t xml:space="preserve">No publicado</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w:t>
      </w:r>
    </w:p>
    <w:bookmarkEnd w:id="85"/>
    <w:bookmarkStart w:id="86"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w:t>
      </w:r>
    </w:p>
    <w:bookmarkEnd w:id="86"/>
    <w:bookmarkEnd w:id="87"/>
    <w:bookmarkStart w:id="95"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88"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w:t>
            </w:r>
          </w:p>
        </w:tc>
      </w:tr>
      <w:tr>
        <w:tc>
          <w:tcPr/>
          <w:p>
            <w:pPr>
              <w:pStyle w:val="Compact"/>
            </w:pPr>
            <w:r>
              <w:t xml:space="preserve">Revocación</w:t>
            </w:r>
          </w:p>
        </w:tc>
        <w:tc>
          <w:tcPr/>
          <w:p>
            <w:pPr>
              <w:pStyle w:val="Compact"/>
            </w:pPr>
            <w:r>
              <w:t xml:space="preserve">Un token sigue siendo válido hasta que vence (riesgo aceptado de ADR-006).</w:t>
            </w:r>
          </w:p>
        </w:tc>
      </w:tr>
    </w:tbl>
    <w:p>
      <w:pPr>
        <w:pStyle w:val="BodyText"/>
      </w:pPr>
      <w:r>
        <w:rPr>
          <w:i/>
          <w:iCs/>
        </w:rPr>
        <w:t xml:space="preserve">Nota.</w:t>
      </w:r>
      <w:r>
        <w:t xml:space="preserve"> </w:t>
      </w:r>
      <w:r>
        <w:t xml:space="preserve">Fuente: configuración y código de security-service y ADR-006.</w:t>
      </w:r>
    </w:p>
    <w:bookmarkEnd w:id="88"/>
    <w:bookmarkStart w:id="89"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89"/>
    <w:bookmarkStart w:id="90"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90"/>
    <w:bookmarkStart w:id="91"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91"/>
    <w:bookmarkStart w:id="92"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pendiente en el despliegue)</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bloqueo temporal por intentos fallidos; sin límite de solicitudes en el gateway.</w:t>
            </w:r>
          </w:p>
        </w:tc>
        <w:tc>
          <w:tcPr/>
          <w:p>
            <w:pPr>
              <w:pStyle w:val="Compact"/>
            </w:pPr>
            <w:r>
              <w:t xml:space="preserve">Parcial</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92"/>
    <w:bookmarkStart w:id="93"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93"/>
    <w:bookmarkStart w:id="94" w:name="X7c4f5e5cd0694e75a491bdca6076753b0ac3a9b"/>
    <w:p>
      <w:pPr>
        <w:pStyle w:val="Heading3"/>
      </w:pPr>
      <w:r>
        <w:t xml:space="preserve">14.7 Riesgos Aceptados</w:t>
      </w:r>
    </w:p>
    <w:p>
      <w:pPr>
        <w:pStyle w:val="Compact"/>
        <w:numPr>
          <w:ilvl w:val="0"/>
          <w:numId w:val="1023"/>
        </w:numPr>
      </w:pPr>
      <w:r>
        <w:t xml:space="preserve">Imposibilidad de revocar un JWT antes de su vencimiento.</w:t>
      </w:r>
    </w:p>
    <w:p>
      <w:pPr>
        <w:pStyle w:val="Compact"/>
        <w:numPr>
          <w:ilvl w:val="0"/>
          <w:numId w:val="1023"/>
        </w:numPr>
      </w:pPr>
      <w:r>
        <w:t xml:space="preserve">Firma simétrica HS256 con un secreto compartido entre servicios.</w:t>
      </w:r>
    </w:p>
    <w:p>
      <w:pPr>
        <w:pStyle w:val="Compact"/>
        <w:numPr>
          <w:ilvl w:val="0"/>
          <w:numId w:val="1023"/>
        </w:numPr>
      </w:pPr>
      <w:r>
        <w:t xml:space="preserve">Sin límite de solicitudes en el gateway; el bloqueo de cuentas solo frena los intentos sobre una misma cuenta.</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94"/>
    <w:bookmarkEnd w:id="95"/>
    <w:bookmarkStart w:id="99" w:name="Xb0d403725a415abf60be976e765e65d012012d4"/>
    <w:p>
      <w:pPr>
        <w:pStyle w:val="Heading2"/>
      </w:pPr>
      <w:r>
        <w:t xml:space="preserve">15. Control de Versiones</w:t>
      </w:r>
    </w:p>
    <w:bookmarkStart w:id="96"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 </w:t>
      </w:r>
      <w:r>
        <w:t xml:space="preserve">o</w:t>
      </w:r>
      <w:r>
        <w:t xml:space="preserve"> </w:t>
      </w:r>
      <w:r>
        <w:rPr>
          <w:i/>
          <w:iCs/>
        </w:rPr>
        <w:t xml:space="preserve">feat/*</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y, en el momento de esta revisión, está detrás de</w:t>
      </w:r>
      <w:r>
        <w:t xml:space="preserve"> </w:t>
      </w:r>
      <w:r>
        <w:rPr>
          <w:i/>
          <w:iCs/>
        </w:rPr>
        <w:t xml:space="preserve">develop</w:t>
      </w:r>
      <w:r>
        <w:t xml:space="preserve"> </w:t>
      </w:r>
      <w:r>
        <w:t xml:space="preserve">en los servicios del backend.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96"/>
    <w:bookmarkStart w:id="97"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97"/>
    <w:bookmarkStart w:id="98"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98"/>
    <w:bookmarkEnd w:id="99"/>
    <w:bookmarkStart w:id="108" w:name="X691387749e89fa9fb1df46fcccbad5749f40988"/>
    <w:p>
      <w:pPr>
        <w:pStyle w:val="Heading2"/>
      </w:pPr>
      <w:r>
        <w:t xml:space="preserve">16. Recomendaciones de Mantenimiento</w:t>
      </w:r>
    </w:p>
    <w:bookmarkStart w:id="10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100"/>
    <w:bookmarkStart w:id="10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w:t>
      </w:r>
    </w:p>
    <w:bookmarkEnd w:id="101"/>
    <w:bookmarkStart w:id="10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102"/>
    <w:bookmarkStart w:id="10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040.</w:t>
      </w:r>
    </w:p>
    <w:p>
      <w:pPr>
        <w:pStyle w:val="Compact"/>
        <w:numPr>
          <w:ilvl w:val="0"/>
          <w:numId w:val="1025"/>
        </w:numPr>
      </w:pPr>
      <w:r>
        <w:t xml:space="preserve">El siguiente changeset de la numeración global es el 031.</w:t>
      </w:r>
    </w:p>
    <w:bookmarkEnd w:id="103"/>
    <w:bookmarkStart w:id="10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El 16 de octubre de 2026 se ejecutaron todas las pruebas con estos resultados: 639 pruebas unitarias y de integración aprobadas (web 43, gateway 34, security-service 147, customer-service 68, booking-service 40, operations-service 54, notification-service 112 y payment-service 141, con 7 omitidas a propósito) y 19 de 19 pruebas de punta a punta aprobadas contra los contenedores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104"/>
    <w:bookmarkStart w:id="10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o JWT_SECRET, emisor o audiencia distintos.</w:t>
            </w:r>
          </w:p>
        </w:tc>
        <w:tc>
          <w:tcPr/>
          <w:p>
            <w:pPr>
              <w:pStyle w:val="Compact"/>
            </w:pPr>
            <w:r>
              <w:t xml:space="preserve">Ingresar de nuevo; verificar el archivo .env.</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105"/>
    <w:bookmarkStart w:id="10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w:t>
      </w:r>
    </w:p>
    <w:bookmarkEnd w:id="106"/>
    <w:bookmarkStart w:id="10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107"/>
    <w:bookmarkEnd w:id="108"/>
    <w:bookmarkStart w:id="10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valida tokens.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109"/>
    <w:bookmarkStart w:id="12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1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1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1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1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1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1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1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1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2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2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22"/>
    <w:bookmarkStart w:id="126" w:name="X2e3e49dda673ee34f20c24c82b99ea2a956b06e"/>
    <w:p>
      <w:pPr>
        <w:pStyle w:val="Heading2"/>
      </w:pPr>
      <w:r>
        <w:t xml:space="preserve">18. Anexos</w:t>
      </w:r>
    </w:p>
    <w:bookmarkStart w:id="12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23"/>
    <w:bookmarkStart w:id="12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valida tokens; lo hace cada servicio.</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24"/>
    <w:bookmarkStart w:id="12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svg" /><Relationship Type="http://schemas.openxmlformats.org/officeDocument/2006/relationships/image" Id="rId76" Target="media/rId76.svg" /><Relationship Type="http://schemas.openxmlformats.org/officeDocument/2006/relationships/image" Id="rId57" Target="media/rId57.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2026-10-19T14:35:45Z</dcterms:created>
  <dcterms:modified xsi:type="dcterms:W3CDTF">2026-10-19T14:35:45Z</dcterms:modified>
</cp:coreProperties>
</file>

<file path=docProps/custom.xml><?xml version="1.0" encoding="utf-8"?>
<Properties xmlns="http://schemas.openxmlformats.org/officeDocument/2006/custom-properties" xmlns:vt="http://schemas.openxmlformats.org/officeDocument/2006/docPropsVTypes"/>
</file>