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6.0, 15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15 de octubre de 2026. Define 41 requisitos funcionales con criterios de aceptación verificables, 12 requisitos no funcionales con su métrica de verificación, 30 casos de uso, las reglas de negocio, los ciclos de vida de la reserva, del pago y de la ejecución, los requisitos de datos y las restricciones técnicas, de datos, de operación y regulatorias. Al 15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8" w:name="Xa6dc8d96a44749f68616ae723e18dd8f8ed80ac"/>
    <w:p>
      <w:pPr>
        <w:pStyle w:val="Heading2"/>
      </w:pPr>
      <w:r>
        <w:t xml:space="preserve">3. Descripción General</w:t>
      </w:r>
    </w:p>
    <w:bookmarkStart w:id="42"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drawing>
          <wp:inline>
            <wp:extent cx="5334000" cy="3240936"/>
            <wp:effectExtent b="0" l="0" r="0" t="0"/>
            <wp:docPr descr="" title="" id="40" name="Picture"/>
            <a:graphic>
              <a:graphicData uri="http://schemas.openxmlformats.org/drawingml/2006/picture">
                <pic:pic>
                  <pic:nvPicPr>
                    <pic:cNvPr descr="01_Informe_De_Especificacion_De_Requisitos_diagramas/diagrama_01.png" id="41" name="Picture"/>
                    <pic:cNvPicPr>
                      <a:picLocks noChangeArrowheads="1" noChangeAspect="1"/>
                    </pic:cNvPicPr>
                  </pic:nvPicPr>
                  <pic:blipFill>
                    <a:blip r:embed="rId39"/>
                    <a:stretch>
                      <a:fillRect/>
                    </a:stretch>
                  </pic:blipFill>
                  <pic:spPr bwMode="auto">
                    <a:xfrm>
                      <a:off x="0" y="0"/>
                      <a:ext cx="5334000" cy="324093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42"/>
    <w:bookmarkStart w:id="43"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3"/>
    <w:bookmarkStart w:id="44"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4"/>
    <w:bookmarkStart w:id="45"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5"/>
    <w:bookmarkStart w:id="46"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6"/>
    <w:bookmarkStart w:id="47"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7"/>
    <w:bookmarkEnd w:id="48"/>
    <w:bookmarkStart w:id="56" w:name="X1ae659448332d9f49c92b6aacd39cff1e44f2d0"/>
    <w:p>
      <w:pPr>
        <w:pStyle w:val="Heading2"/>
      </w:pPr>
      <w:r>
        <w:t xml:space="preserve">4. Requisitos de Interfaces Externas</w:t>
      </w:r>
    </w:p>
    <w:bookmarkStart w:id="52"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514348"/>
            <wp:effectExtent b="0" l="0" r="0" t="0"/>
            <wp:docPr descr="Inicio de sesió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514348"/>
                    </a:xfrm>
                    <a:prstGeom prst="rect">
                      <a:avLst/>
                    </a:prstGeom>
                    <a:noFill/>
                    <a:ln w="9525">
                      <a:noFill/>
                      <a:headEnd/>
                      <a:tailEnd/>
                    </a:ln>
                  </pic:spPr>
                </pic:pic>
              </a:graphicData>
            </a:graphic>
          </wp:inline>
        </w:drawing>
      </w:r>
    </w:p>
    <w:bookmarkEnd w:id="52"/>
    <w:bookmarkStart w:id="53"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3"/>
    <w:bookmarkStart w:id="54"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4"/>
    <w:bookmarkStart w:id="55"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5"/>
    <w:bookmarkEnd w:id="56"/>
    <w:bookmarkStart w:id="151" w:name="Xca7780d28886795b629fbe90049b48b2a16d4e7"/>
    <w:p>
      <w:pPr>
        <w:pStyle w:val="Heading2"/>
      </w:pPr>
      <w:r>
        <w:t xml:space="preserve">5. Requisitos Funcionales</w:t>
      </w:r>
    </w:p>
    <w:bookmarkStart w:id="57"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15 de octubre de 2026: Implementado (construido y probado), Parcial (construido en parte; se indica qué falta) y Pendiente (no construido).</w:t>
      </w:r>
    </w:p>
    <w:bookmarkEnd w:id="57"/>
    <w:bookmarkStart w:id="73"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y conserva su historial.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3514348"/>
                  <wp:effectExtent b="0" l="0" r="0" t="0"/>
                  <wp:docPr descr="Registro"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514348"/>
                  <wp:effectExtent b="0" l="0" r="0" t="0"/>
                  <wp:docPr descr="Recuperar contraseña"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514348"/>
                  <wp:effectExtent b="0" l="0" r="0" t="0"/>
                  <wp:docPr descr="Mi perfil"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514348"/>
                  <wp:effectExtent b="0" l="0" r="0" t="0"/>
                  <wp:docPr descr="Gestión de usuarios"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514348"/>
                  <wp:effectExtent b="0" l="0" r="0" t="0"/>
                  <wp:docPr descr="Roles y permiso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3"/>
    <w:bookmarkStart w:id="77"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514348"/>
            <wp:effectExtent b="0" l="0" r="0" t="0"/>
            <wp:docPr descr="Mis vehículo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514348"/>
                    </a:xfrm>
                    <a:prstGeom prst="rect">
                      <a:avLst/>
                    </a:prstGeom>
                    <a:noFill/>
                    <a:ln w="9525">
                      <a:noFill/>
                      <a:headEnd/>
                      <a:tailEnd/>
                    </a:ln>
                  </pic:spPr>
                </pic:pic>
              </a:graphicData>
            </a:graphic>
          </wp:inline>
        </w:drawing>
      </w:r>
    </w:p>
    <w:bookmarkEnd w:id="77"/>
    <w:bookmarkStart w:id="84"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514348"/>
                  <wp:effectExtent b="0" l="0" r="0" t="0"/>
                  <wp:docPr descr="Catálogo"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3514348"/>
                  <wp:effectExtent b="0" l="0" r="0" t="0"/>
                  <wp:docPr descr="Horario y bahía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4"/>
    <w:bookmarkStart w:id="94"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3514348"/>
                  <wp:effectExtent b="0" l="0" r="0" t="0"/>
                  <wp:docPr descr="Reservar lavado"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3514348"/>
                  <wp:effectExtent b="0" l="0" r="0" t="0"/>
                  <wp:docPr descr="Historial de reservas"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514348"/>
                  <wp:effectExtent b="0" l="0" r="0" t="0"/>
                  <wp:docPr descr="Gestión de reserva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4"/>
    <w:bookmarkStart w:id="110"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514348"/>
                  <wp:effectExtent b="0" l="0" r="0" t="0"/>
                  <wp:docPr descr="Servicios asignado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514348"/>
                  <wp:effectExtent b="0" l="0" r="0" t="0"/>
                  <wp:docPr descr="Panel del operario"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3514348"/>
                  <wp:effectExtent b="0" l="0" r="0" t="0"/>
                  <wp:docPr descr="Calificacione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514348"/>
                  <wp:effectExtent b="0" l="0" r="0" t="0"/>
                  <wp:docPr descr="Operario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514348"/>
                  <wp:effectExtent b="0" l="0" r="0" t="0"/>
                  <wp:docPr descr="Mi agenda"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0"/>
    <w:bookmarkStart w:id="122"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514348"/>
                  <wp:effectExtent b="0" l="0" r="0" t="0"/>
                  <wp:docPr descr="Pago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514348"/>
                  <wp:effectExtent b="0" l="0" r="0" t="0"/>
                  <wp:docPr descr="Gestión de pagos"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3514348"/>
                  <wp:effectExtent b="0" l="0" r="0" t="0"/>
                  <wp:docPr descr="Cuentas de pago"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3514348"/>
                  <wp:effectExtent b="0" l="0" r="0" t="0"/>
                  <wp:docPr descr="Historial"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2"/>
    <w:bookmarkStart w:id="141"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3514348"/>
                  <wp:effectExtent b="0" l="0" r="0" t="0"/>
                  <wp:docPr descr="Dashboard admin"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514348"/>
                  <wp:effectExtent b="0" l="0" r="0" t="0"/>
                  <wp:docPr descr="Notificaciones admin"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Notificaciones cliente"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514348"/>
                  <wp:effectExtent b="0" l="0" r="0" t="0"/>
                  <wp:docPr descr="Configuración"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3514348"/>
                  <wp:effectExtent b="0" l="0" r="0" t="0"/>
                  <wp:docPr descr="Reporte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1"/>
    <w:bookmarkStart w:id="149"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514348"/>
                  <wp:effectExtent b="0" l="0" r="0" t="0"/>
                  <wp:docPr descr="Promocione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514348"/>
                  <wp:effectExtent b="0" l="0" r="0" t="0"/>
                  <wp:docPr descr="Pagos con cupó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con punto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9"/>
    <w:bookmarkStart w:id="150"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50"/>
    <w:bookmarkEnd w:id="151"/>
    <w:bookmarkStart w:id="152"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w:t>
            </w:r>
            <w:r>
              <w:t xml:space="preserve">en el ambiente local; HTTPS se configura al desplegar fuera de desarrollo.</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ninguna de las 12 pantallas web revisadas se sale de 360 px;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52"/>
    <w:bookmarkStart w:id="168" w:name="X2653d0694522bb40471ef86c73390adff1888f4"/>
    <w:p>
      <w:pPr>
        <w:pStyle w:val="Heading2"/>
      </w:pPr>
      <w:r>
        <w:t xml:space="preserve">7. Modelo de Casos de Uso</w:t>
      </w:r>
    </w:p>
    <w:bookmarkStart w:id="165" w:name="X1e1eb23c23855531108f996e68f468a7a70ddd7"/>
    <w:p>
      <w:pPr>
        <w:pStyle w:val="Heading3"/>
      </w:pPr>
      <w:r>
        <w:t xml:space="preserve">7.1 Diagrama de Casos de Uso</w:t>
      </w:r>
    </w:p>
    <w:p>
      <w:pPr>
        <w:pStyle w:val="FirstParagraph"/>
      </w:pPr>
      <w:r>
        <w:t xml:space="preserve">Los 30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drawing>
          <wp:inline>
            <wp:extent cx="5334000" cy="7601248"/>
            <wp:effectExtent b="0" l="0" r="0" t="0"/>
            <wp:docPr descr="" title="" id="154" name="Picture"/>
            <a:graphic>
              <a:graphicData uri="http://schemas.openxmlformats.org/drawingml/2006/picture">
                <pic:pic>
                  <pic:nvPicPr>
                    <pic:cNvPr descr="01_Informe_De_Especificacion_De_Requisitos_diagramas/diagrama_02.png" id="155" name="Picture"/>
                    <pic:cNvPicPr>
                      <a:picLocks noChangeArrowheads="1" noChangeAspect="1"/>
                    </pic:cNvPicPr>
                  </pic:nvPicPr>
                  <pic:blipFill>
                    <a:blip r:embed="rId153"/>
                    <a:stretch>
                      <a:fillRect/>
                    </a:stretch>
                  </pic:blipFill>
                  <pic:spPr bwMode="auto">
                    <a:xfrm>
                      <a:off x="0" y="0"/>
                      <a:ext cx="5334000" cy="7601248"/>
                    </a:xfrm>
                    <a:prstGeom prst="rect">
                      <a:avLst/>
                    </a:prstGeom>
                    <a:noFill/>
                    <a:ln w="9525">
                      <a:noFill/>
                      <a:headEnd/>
                      <a:tailEnd/>
                    </a:ln>
                  </pic:spPr>
                </pic:pic>
              </a:graphicData>
            </a:graphic>
          </wp:inline>
        </w:drawing>
      </w:r>
    </w:p>
    <w:p>
      <w:pPr>
        <w:pStyle w:val="BodyText"/>
      </w:pPr>
      <w:r>
        <w:rPr>
          <w:b/>
          <w:bCs/>
        </w:rPr>
        <w:t xml:space="preserve">Figura 3b</w:t>
      </w:r>
      <w:r>
        <w:t xml:space="preserve"> </w:t>
      </w:r>
      <w:r>
        <w:rPr>
          <w:i/>
          <w:iCs/>
        </w:rPr>
        <w:t xml:space="preserve">Casos de Uso del Cliente</w:t>
      </w:r>
    </w:p>
    <w:p>
      <w:pPr>
        <w:pStyle w:val="BodyText"/>
      </w:pPr>
      <w:r>
        <w:drawing>
          <wp:inline>
            <wp:extent cx="5334000" cy="6201408"/>
            <wp:effectExtent b="0" l="0" r="0" t="0"/>
            <wp:docPr descr="" title="" id="157" name="Picture"/>
            <a:graphic>
              <a:graphicData uri="http://schemas.openxmlformats.org/drawingml/2006/picture">
                <pic:pic>
                  <pic:nvPicPr>
                    <pic:cNvPr descr="01_Informe_De_Especificacion_De_Requisitos_diagramas/diagrama_03.png" id="158" name="Picture"/>
                    <pic:cNvPicPr>
                      <a:picLocks noChangeArrowheads="1" noChangeAspect="1"/>
                    </pic:cNvPicPr>
                  </pic:nvPicPr>
                  <pic:blipFill>
                    <a:blip r:embed="rId156"/>
                    <a:stretch>
                      <a:fillRect/>
                    </a:stretch>
                  </pic:blipFill>
                  <pic:spPr bwMode="auto">
                    <a:xfrm>
                      <a:off x="0" y="0"/>
                      <a:ext cx="5334000" cy="6201408"/>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drawing>
          <wp:inline>
            <wp:extent cx="5334000" cy="3623318"/>
            <wp:effectExtent b="0" l="0" r="0" t="0"/>
            <wp:docPr descr="" title="" id="160" name="Picture"/>
            <a:graphic>
              <a:graphicData uri="http://schemas.openxmlformats.org/drawingml/2006/picture">
                <pic:pic>
                  <pic:nvPicPr>
                    <pic:cNvPr descr="01_Informe_De_Especificacion_De_Requisitos_diagramas/diagrama_04.png" id="161" name="Picture"/>
                    <pic:cNvPicPr>
                      <a:picLocks noChangeArrowheads="1" noChangeAspect="1"/>
                    </pic:cNvPicPr>
                  </pic:nvPicPr>
                  <pic:blipFill>
                    <a:blip r:embed="rId159"/>
                    <a:stretch>
                      <a:fillRect/>
                    </a:stretch>
                  </pic:blipFill>
                  <pic:spPr bwMode="auto">
                    <a:xfrm>
                      <a:off x="0" y="0"/>
                      <a:ext cx="5334000" cy="3623318"/>
                    </a:xfrm>
                    <a:prstGeom prst="rect">
                      <a:avLst/>
                    </a:prstGeom>
                    <a:noFill/>
                    <a:ln w="9525">
                      <a:noFill/>
                      <a:headEnd/>
                      <a:tailEnd/>
                    </a:ln>
                  </pic:spPr>
                </pic:pic>
              </a:graphicData>
            </a:graphic>
          </wp:inline>
        </w:drawing>
      </w:r>
    </w:p>
    <w:p>
      <w:pPr>
        <w:pStyle w:val="BodyText"/>
      </w:pPr>
      <w:r>
        <w:rPr>
          <w:b/>
          <w:bCs/>
        </w:rPr>
        <w:t xml:space="preserve">Figura 3d</w:t>
      </w:r>
      <w:r>
        <w:t xml:space="preserve"> </w:t>
      </w:r>
      <w:r>
        <w:rPr>
          <w:i/>
          <w:iCs/>
        </w:rPr>
        <w:t xml:space="preserve">Casos de Uso del Administrador y del Sistema</w:t>
      </w:r>
    </w:p>
    <w:p>
      <w:pPr>
        <w:pStyle w:val="BodyText"/>
      </w:pPr>
      <w:r>
        <w:drawing>
          <wp:inline>
            <wp:extent cx="5334000" cy="16689894"/>
            <wp:effectExtent b="0" l="0" r="0" t="0"/>
            <wp:docPr descr="" title="" id="163" name="Picture"/>
            <a:graphic>
              <a:graphicData uri="http://schemas.openxmlformats.org/drawingml/2006/picture">
                <pic:pic>
                  <pic:nvPicPr>
                    <pic:cNvPr descr="01_Informe_De_Especificacion_De_Requisitos_diagramas/diagrama_05.png" id="164" name="Picture"/>
                    <pic:cNvPicPr>
                      <a:picLocks noChangeArrowheads="1" noChangeAspect="1"/>
                    </pic:cNvPicPr>
                  </pic:nvPicPr>
                  <pic:blipFill>
                    <a:blip r:embed="rId162"/>
                    <a:stretch>
                      <a:fillRect/>
                    </a:stretch>
                  </pic:blipFill>
                  <pic:spPr bwMode="auto">
                    <a:xfrm>
                      <a:off x="0" y="0"/>
                      <a:ext cx="5334000" cy="1668989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Elaboración propia.</w:t>
      </w:r>
    </w:p>
    <w:bookmarkEnd w:id="165"/>
    <w:bookmarkStart w:id="166"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bookmarkEnd w:id="166"/>
    <w:bookmarkStart w:id="167"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67"/>
    <w:bookmarkEnd w:id="168"/>
    <w:bookmarkStart w:id="182" w:name="Xf3f92ab6dd668fdd395b751b793302fd13f8c9d"/>
    <w:p>
      <w:pPr>
        <w:pStyle w:val="Heading2"/>
      </w:pPr>
      <w:r>
        <w:t xml:space="preserve">8. Flujos de Negocio</w:t>
      </w:r>
    </w:p>
    <w:bookmarkStart w:id="169"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69"/>
    <w:bookmarkStart w:id="173"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drawing>
          <wp:inline>
            <wp:extent cx="5334000" cy="4188177"/>
            <wp:effectExtent b="0" l="0" r="0" t="0"/>
            <wp:docPr descr="" title="" id="171" name="Picture"/>
            <a:graphic>
              <a:graphicData uri="http://schemas.openxmlformats.org/drawingml/2006/picture">
                <pic:pic>
                  <pic:nvPicPr>
                    <pic:cNvPr descr="01_Informe_De_Especificacion_De_Requisitos_diagramas/diagrama_06.png" id="172" name="Picture"/>
                    <pic:cNvPicPr>
                      <a:picLocks noChangeArrowheads="1" noChangeAspect="1"/>
                    </pic:cNvPicPr>
                  </pic:nvPicPr>
                  <pic:blipFill>
                    <a:blip r:embed="rId170"/>
                    <a:stretch>
                      <a:fillRect/>
                    </a:stretch>
                  </pic:blipFill>
                  <pic:spPr bwMode="auto">
                    <a:xfrm>
                      <a:off x="0" y="0"/>
                      <a:ext cx="5334000" cy="418817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drawing>
          <wp:inline>
            <wp:extent cx="5334000" cy="5748866"/>
            <wp:effectExtent b="0" l="0" r="0" t="0"/>
            <wp:docPr descr="" title="" id="175" name="Picture"/>
            <a:graphic>
              <a:graphicData uri="http://schemas.openxmlformats.org/drawingml/2006/picture">
                <pic:pic>
                  <pic:nvPicPr>
                    <pic:cNvPr descr="01_Informe_De_Especificacion_De_Requisitos_diagramas/diagrama_07.png" id="176" name="Picture"/>
                    <pic:cNvPicPr>
                      <a:picLocks noChangeArrowheads="1" noChangeAspect="1"/>
                    </pic:cNvPicPr>
                  </pic:nvPicPr>
                  <pic:blipFill>
                    <a:blip r:embed="rId174"/>
                    <a:stretch>
                      <a:fillRect/>
                    </a:stretch>
                  </pic:blipFill>
                  <pic:spPr bwMode="auto">
                    <a:xfrm>
                      <a:off x="0" y="0"/>
                      <a:ext cx="5334000" cy="574886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drawing>
          <wp:inline>
            <wp:extent cx="5334000" cy="4341394"/>
            <wp:effectExtent b="0" l="0" r="0" t="0"/>
            <wp:docPr descr="" title="" id="178" name="Picture"/>
            <a:graphic>
              <a:graphicData uri="http://schemas.openxmlformats.org/drawingml/2006/picture">
                <pic:pic>
                  <pic:nvPicPr>
                    <pic:cNvPr descr="01_Informe_De_Especificacion_De_Requisitos_diagramas/diagrama_08.png" id="179" name="Picture"/>
                    <pic:cNvPicPr>
                      <a:picLocks noChangeArrowheads="1" noChangeAspect="1"/>
                    </pic:cNvPicPr>
                  </pic:nvPicPr>
                  <pic:blipFill>
                    <a:blip r:embed="rId177"/>
                    <a:stretch>
                      <a:fillRect/>
                    </a:stretch>
                  </pic:blipFill>
                  <pic:spPr bwMode="auto">
                    <a:xfrm>
                      <a:off x="0" y="0"/>
                      <a:ext cx="5334000" cy="4341394"/>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80"/>
    <w:bookmarkStart w:id="181"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53 relaciona cada evento con su efecto.</w:t>
      </w:r>
    </w:p>
    <w:p>
      <w:pPr>
        <w:pStyle w:val="BodyText"/>
      </w:pPr>
      <w:r>
        <w:rPr>
          <w:b/>
          <w:bCs/>
        </w:rPr>
        <w:t xml:space="preserve">Tabla 53</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81"/>
    <w:bookmarkEnd w:id="182"/>
    <w:bookmarkStart w:id="185" w:name="X436a3c1cb5e27b676bd4a1a699fdc3122b9a1bd"/>
    <w:p>
      <w:pPr>
        <w:pStyle w:val="Heading2"/>
      </w:pPr>
      <w:r>
        <w:t xml:space="preserve">9. Requisitos de Datos</w:t>
      </w:r>
    </w:p>
    <w:bookmarkStart w:id="183"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54).</w:t>
      </w:r>
    </w:p>
    <w:p>
      <w:pPr>
        <w:pStyle w:val="BodyText"/>
      </w:pPr>
      <w:r>
        <w:rPr>
          <w:b/>
          <w:bCs/>
        </w:rPr>
        <w:t xml:space="preserve">Tabla 54</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83"/>
    <w:bookmarkStart w:id="184"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84"/>
    <w:bookmarkEnd w:id="185"/>
    <w:bookmarkStart w:id="186" w:name="X77cf3ffe92157350720023a3f98c650ce33f28d"/>
    <w:p>
      <w:pPr>
        <w:pStyle w:val="Heading2"/>
      </w:pPr>
      <w:r>
        <w:t xml:space="preserve">10. Matriz de Trazabilidad</w:t>
      </w:r>
    </w:p>
    <w:p>
      <w:pPr>
        <w:pStyle w:val="FirstParagraph"/>
      </w:pPr>
      <w:r>
        <w:t xml:space="preserve">La Tabla 55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55</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86"/>
    <w:bookmarkStart w:id="190" w:name="X25e614d841c7b010c1be6b24e6822a9f83ab68b"/>
    <w:p>
      <w:pPr>
        <w:pStyle w:val="Heading2"/>
      </w:pPr>
      <w:r>
        <w:t xml:space="preserve">11. Estado de Avance y Decisiones Abiertas</w:t>
      </w:r>
    </w:p>
    <w:bookmarkStart w:id="187"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56 resume las pruebas automatizadas de los servicios y de la web, ejecutadas el 15 de octubre de 2026.</w:t>
      </w:r>
    </w:p>
    <w:p>
      <w:pPr>
        <w:pStyle w:val="BodyText"/>
      </w:pPr>
      <w:r>
        <w:rPr>
          <w:b/>
          <w:bCs/>
        </w:rPr>
        <w:t xml:space="preserve">Tabla 56</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36</w:t>
            </w:r>
          </w:p>
        </w:tc>
        <w:tc>
          <w:tcPr/>
          <w:p>
            <w:pPr>
              <w:pStyle w:val="Compact"/>
            </w:pPr>
            <w:r>
              <w:t xml:space="preserve">15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15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135</w:t>
            </w:r>
          </w:p>
        </w:tc>
        <w:tc>
          <w:tcPr/>
          <w:p>
            <w:pPr>
              <w:pStyle w:val="Compact"/>
            </w:pPr>
            <w:r>
              <w:t xml:space="preserve">15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15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38</w:t>
            </w:r>
          </w:p>
        </w:tc>
        <w:tc>
          <w:tcPr/>
          <w:p>
            <w:pPr>
              <w:pStyle w:val="Compact"/>
            </w:pPr>
            <w:r>
              <w:t xml:space="preserve">15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49</w:t>
            </w:r>
          </w:p>
        </w:tc>
        <w:tc>
          <w:tcPr/>
          <w:p>
            <w:pPr>
              <w:pStyle w:val="Compact"/>
            </w:pPr>
            <w:r>
              <w:t xml:space="preserve">15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100</w:t>
            </w:r>
          </w:p>
        </w:tc>
        <w:tc>
          <w:tcPr/>
          <w:p>
            <w:pPr>
              <w:pStyle w:val="Compact"/>
            </w:pPr>
            <w:r>
              <w:t xml:space="preserve">15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15 de octubre de 2026</w:t>
            </w:r>
          </w:p>
        </w:tc>
      </w:tr>
      <w:tr>
        <w:tc>
          <w:tcPr/>
          <w:p>
            <w:pPr>
              <w:pStyle w:val="Compact"/>
            </w:pPr>
            <w:r>
              <w:rPr>
                <w:b/>
                <w:bCs/>
              </w:rPr>
              <w:t xml:space="preserve">Total</w:t>
            </w:r>
          </w:p>
        </w:tc>
        <w:tc>
          <w:tcPr/>
          <w:p>
            <w:pPr>
              <w:pStyle w:val="Compact"/>
            </w:pPr>
          </w:p>
        </w:tc>
        <w:tc>
          <w:tcPr/>
          <w:p>
            <w:pPr>
              <w:pStyle w:val="Compact"/>
            </w:pPr>
            <w:r>
              <w:rPr>
                <w:b/>
                <w:bCs/>
              </w:rPr>
              <w:t xml:space="preserve">601</w:t>
            </w:r>
          </w:p>
        </w:tc>
        <w:tc>
          <w:tcPr/>
          <w:p>
            <w:pPr>
              <w:pStyle w:val="Compact"/>
            </w:pPr>
          </w:p>
        </w:tc>
      </w:tr>
    </w:tbl>
    <w:p>
      <w:pPr>
        <w:pStyle w:val="BodyText"/>
      </w:pPr>
      <w:r>
        <w:rPr>
          <w:i/>
          <w:iCs/>
        </w:rPr>
        <w:t xml:space="preserve">Nota.</w:t>
      </w:r>
      <w:r>
        <w:t xml:space="preserve"> </w:t>
      </w:r>
      <w:r>
        <w:t xml:space="preserve">Todas las pruebas pasaron. payment-service tiene además 7 pruebas de integración que se omiten porque necesitan SQL Server. Además,</w:t>
      </w:r>
      <w:r>
        <w:t xml:space="preserve"> </w:t>
      </w:r>
      <w:r>
        <w:rPr>
          <w:rStyle w:val="VerbatimChar"/>
        </w:rPr>
        <w:t xml:space="preserve">lavarapido-infra/e2e</w:t>
      </w:r>
      <w:r>
        <w:t xml:space="preserve"> </w:t>
      </w:r>
      <w:r>
        <w:t xml:space="preserve">tiene tres scripts que se ejecutan con el sistema levantado: el flujo entre servicios (el cliente ve los operarios libres, reserva eligiendo uno, operations-service lo asigna por RabbitMQ, notification-service avisa y el panel del administrador cuenta la reserva),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87"/>
    <w:bookmarkStart w:id="188"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Guardar en el servidor la aceptación de la política de datos personales (RR-01).</w:t>
      </w:r>
    </w:p>
    <w:p>
      <w:pPr>
        <w:pStyle w:val="Compact"/>
        <w:numPr>
          <w:ilvl w:val="0"/>
          <w:numId w:val="1009"/>
        </w:numPr>
      </w:pPr>
      <w:r>
        <w:t xml:space="preserve">Montar la integración continua con Jenkins.</w:t>
      </w:r>
    </w:p>
    <w:bookmarkEnd w:id="188"/>
    <w:bookmarkStart w:id="189" w:name="X54a90f19eda5b1f380051da1f824034f49723e2"/>
    <w:p>
      <w:pPr>
        <w:pStyle w:val="Heading3"/>
      </w:pPr>
      <w:r>
        <w:t xml:space="preserve">11.3 Decisiones Abiertas</w:t>
      </w:r>
    </w:p>
    <w:p>
      <w:pPr>
        <w:pStyle w:val="FirstParagraph"/>
      </w:pPr>
      <w:r>
        <w:rPr>
          <w:b/>
          <w:bCs/>
        </w:rPr>
        <w:t xml:space="preserve">Tabla 57</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89"/>
    <w:bookmarkEnd w:id="190"/>
    <w:bookmarkStart w:id="200"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2026-10-15T22:32:54Z</dcterms:created>
  <dcterms:modified xsi:type="dcterms:W3CDTF">2026-10-15T22:32:54Z</dcterms:modified>
</cp:coreProperties>
</file>

<file path=docProps/custom.xml><?xml version="1.0" encoding="utf-8"?>
<Properties xmlns="http://schemas.openxmlformats.org/officeDocument/2006/custom-properties" xmlns:vt="http://schemas.openxmlformats.org/officeDocument/2006/docPropsVTypes"/>
</file>