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9, 2026</w:t>
      </w:r>
    </w:p>
    <w:p>
      <w:pPr>
        <w:pStyle w:val="BodyText"/>
      </w:pPr>
      <w:r>
        <w:t xml:space="preserve">Document Type: Implementation Procedure (Development Team, IT Administrator, and Business Owner) · Version 1.0</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9, 2026), especially</w:t>
      </w:r>
      <w:r>
        <w:t xml:space="preserve"> </w:t>
      </w:r>
      <w:r>
        <w:rPr>
          <w:i/>
          <w:iCs/>
        </w:rPr>
        <w:t xml:space="preserve">lavarapido-infra/docker-compose.yml</w:t>
      </w:r>
      <w:r>
        <w:t xml:space="preserve"> </w:t>
      </w:r>
      <w:r>
        <w:t xml:space="preserve">and</w:t>
      </w:r>
      <w:r>
        <w:t xml:space="preserve"> </w:t>
      </w:r>
      <w:r>
        <w:rPr>
          <w:i/>
          <w:iCs/>
        </w:rPr>
        <w:t xml:space="preserve">.env.example</w:t>
      </w:r>
      <w:r>
        <w:t xml:space="preserve">, and against the project documentation on deployment, environments, continuous integration, operations, quality, and project control (Vehicle Washing Development Team, 2026a, 2026b). The detailed installation, administration, and usage procedures are not repeated here: the reader is referred to the Installation Manual, the Administrator Manual, and the User Manual, version 3.1, which belong to the same document set.</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the gateway), the database, the messaging, and the web application on a server or machine with Docker, which is the only environment that the project documentation declares within its scope (Vehicle Washing Development Team, 2026a).</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cloud or high-availability production environment: the documentation declares it outside the academic scope. Section 14 lists what would be missing to reach it.</w:t>
      </w:r>
    </w:p>
    <w:p>
      <w:pPr>
        <w:pStyle w:val="Compact"/>
        <w:numPr>
          <w:ilvl w:val="0"/>
          <w:numId w:val="1010"/>
        </w:numPr>
      </w:pPr>
      <w:r>
        <w:t xml:space="preserve">The publication of the mobile application in app stores; the Android application is still under development and is implemented only as a development build (section 11.7).</w:t>
      </w:r>
    </w:p>
    <w:p>
      <w:pPr>
        <w:pStyle w:val="Compact"/>
        <w:numPr>
          <w:ilvl w:val="0"/>
          <w:numId w:val="1010"/>
        </w:numPr>
      </w:pPr>
      <w:r>
        <w:t xml:space="preserve">Continuous integration: Jenkins is planned but not configured (technical debt TD-006), so the release is built with the commands of section 11.3.</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server or machine with Docker (Windows 10 or 11 with WSL 2, Ubuntu 22.04 or later, or macOS) that runs all the components of Table 4 with</w:t>
      </w:r>
      <w:r>
        <w:t xml:space="preserve"> </w:t>
      </w:r>
      <w:r>
        <w:rPr>
          <w:i/>
          <w:iCs/>
        </w:rPr>
        <w:t xml:space="preserve">docker compose --profile app</w:t>
      </w:r>
      <w:r>
        <w:t xml:space="preserve">. The hardware, software, and port requirements are those of sections 6 and 7 of the Installation Manual (minimum 4 cores, 8 GB of RAM with 5 GB for Docker, and 20 GB of free disk; recommended 16 GB of RAM and an SSD).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w:t>
            </w:r>
          </w:p>
        </w:tc>
        <w:tc>
          <w:tcPr/>
          <w:p>
            <w:pPr>
              <w:pStyle w:val="Compact"/>
            </w:pPr>
            <w:r>
              <w:t xml:space="preserve">Phase 6</w:t>
            </w:r>
          </w:p>
        </w:tc>
      </w:tr>
      <w:tr>
        <w:tc>
          <w:tcPr/>
          <w:p>
            <w:pPr>
              <w:pStyle w:val="Compact"/>
            </w:pPr>
            <w:r>
              <w:t xml:space="preserve">Mobile application (development build)</w:t>
            </w:r>
          </w:p>
        </w:tc>
        <w:tc>
          <w:tcPr/>
          <w:p>
            <w:pPr>
              <w:pStyle w:val="Compact"/>
            </w:pPr>
            <w:r>
              <w:t xml:space="preserve">Repository</w:t>
            </w:r>
            <w:r>
              <w:t xml:space="preserve"> </w:t>
            </w:r>
            <w:r>
              <w:rPr>
                <w:i/>
                <w:iCs/>
              </w:rPr>
              <w:t xml:space="preserve">LavadoVehicular-Movil</w:t>
            </w:r>
          </w:p>
        </w:tc>
        <w:tc>
          <w:tcPr/>
          <w:p>
            <w:pPr>
              <w:pStyle w:val="Compact"/>
            </w:pPr>
            <w:r>
              <w:t xml:space="preserve">8081 (Metro)</w:t>
            </w:r>
          </w:p>
        </w:tc>
        <w:tc>
          <w:tcPr/>
          <w:p>
            <w:pPr>
              <w:pStyle w:val="Compact"/>
            </w:pPr>
            <w:r>
              <w:t xml:space="preserve">Phase 6, optional</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(October 9, 2026). Since October 8, 2026, payment-service has a Dockerfile and a service in the Compose file, and the gateway container receives</w:t>
      </w:r>
      <w:r>
        <w:t xml:space="preserve"> </w:t>
      </w:r>
      <w:r>
        <w:rPr>
          <w:i/>
          <w:iCs/>
        </w:rPr>
        <w:t xml:space="preserve">ROUTE_PAYMENT_URL</w:t>
      </w:r>
      <w:r>
        <w:t xml:space="preserve">; the TD-014 limitations described in version 3.0 of the manuals are resolved.</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backend tests pass:</w:t>
            </w:r>
            <w:r>
              <w:t xml:space="preserve"> </w:t>
            </w:r>
            <w:r>
              <w:rPr>
                <w:i/>
                <w:iCs/>
              </w:rPr>
              <w:t xml:space="preserve">./mvnw -B verify</w:t>
            </w:r>
            <w:r>
              <w:t xml:space="preserve"> </w:t>
            </w:r>
            <w:r>
              <w:t xml:space="preserve">in the Java services and the gateway, and</w:t>
            </w:r>
            <w:r>
              <w:t xml:space="preserve"> </w:t>
            </w:r>
            <w:r>
              <w:rPr>
                <w:i/>
                <w:iCs/>
              </w:rPr>
              <w:t xml:space="preserve">dotnet test</w:t>
            </w:r>
            <w:r>
              <w:t xml:space="preserve"> </w:t>
            </w:r>
            <w:r>
              <w:t xml:space="preserve">in payment-service.</w:t>
            </w:r>
          </w:p>
        </w:tc>
        <w:tc>
          <w:tcPr/>
          <w:p>
            <w:pPr>
              <w:pStyle w:val="Compact"/>
            </w:pPr>
            <w:r>
              <w:t xml:space="preserve">Output with BUILD SUCCESS and an xUnit summary without failures.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3.1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2"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http://carwash-server:4200</w:t>
            </w:r>
            <w:r>
              <w:t xml:space="preserve">).</w:t>
            </w:r>
          </w:p>
        </w:tc>
        <w:tc>
          <w:tcPr/>
          <w:p>
            <w:pPr>
              <w:pStyle w:val="Compact"/>
            </w:pPr>
            <w:r>
              <w:t xml:space="preserve">Browsers reject other origins.</w:t>
            </w:r>
          </w:p>
        </w:tc>
      </w:tr>
      <w:tr>
        <w:tc>
          <w:tcPr/>
          <w:p>
            <w:pPr>
              <w:pStyle w:val="Compact"/>
            </w:pPr>
            <w:r>
              <w:t xml:space="preserve">PUSH_ENABLED</w:t>
            </w:r>
          </w:p>
        </w:tc>
        <w:tc>
          <w:tcPr/>
          <w:p>
            <w:pPr>
              <w:pStyle w:val="Compact"/>
            </w:pPr>
            <w:r>
              <w:rPr>
                <w:i/>
                <w:iCs/>
              </w:rPr>
              <w:t xml:space="preserve">false</w:t>
            </w:r>
            <w:r>
              <w:t xml:space="preserve"> </w:t>
            </w:r>
            <w:r>
              <w:t xml:space="preserve">until there is a build of the mobile application made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Build the web application (</w:t>
      </w:r>
      <w:r>
        <w:rPr>
          <w:i/>
          <w:iCs/>
        </w:rPr>
        <w:t xml:space="preserve">npm ci</w:t>
      </w:r>
      <w:r>
        <w:t xml:space="preserve"> </w:t>
      </w:r>
      <w:r>
        <w:t xml:space="preserve">and</w:t>
      </w:r>
      <w:r>
        <w:t xml:space="preserve"> </w:t>
      </w:r>
      <w:r>
        <w:rPr>
          <w:i/>
          <w:iCs/>
        </w:rPr>
        <w:t xml:space="preserve">npx ng build</w:t>
      </w:r>
      <w:r>
        <w:t xml:space="preserve">). The web test suite (</w:t>
      </w:r>
      <w:r>
        <w:rPr>
          <w:i/>
          <w:iCs/>
        </w:rPr>
        <w:t xml:space="preserve">ng test</w:t>
      </w:r>
      <w:r>
        <w:t xml:space="preserve">) does not compile while the six outdated</w:t>
      </w:r>
      <w:r>
        <w:t xml:space="preserve"> </w:t>
      </w:r>
      <w:r>
        <w:rPr>
          <w:i/>
          <w:iCs/>
        </w:rPr>
        <w:t xml:space="preserve">.spec.ts</w:t>
      </w:r>
      <w:r>
        <w:t xml:space="preserve"> </w:t>
      </w:r>
      <w:r>
        <w:t xml:space="preserve">files exist (TD-001); until they are fixed, its result does not block the implementation and is recorded as an exception approved by the project leader.</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49 tables in the nine schemas (Installation Manual, section 11.5) and that the RabbitMQ topology exists (exchange</w:t>
      </w:r>
      <w:r>
        <w:t xml:space="preserve"> </w:t>
      </w:r>
      <w:r>
        <w:rPr>
          <w:i/>
          <w:iCs/>
        </w:rPr>
        <w:t xml:space="preserve">carwash.events</w:t>
      </w:r>
      <w:r>
        <w:t xml:space="preserv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w:t>
      </w:r>
      <w:r>
        <w:t xml:space="preserve">with their</w:t>
      </w:r>
      <w:r>
        <w:t xml:space="preserve"> </w:t>
      </w:r>
      <w:r>
        <w:rPr>
          <w:i/>
          <w:iCs/>
        </w:rPr>
        <w:t xml:space="preserve">.dlq</w:t>
      </w:r>
      <w:r>
        <w:t xml:space="preserv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The health endpoint of payment-service answers</w:t>
      </w:r>
      <w:r>
        <w:t xml:space="preserve"> </w:t>
      </w:r>
      <w:r>
        <w:rPr>
          <w:i/>
          <w:iCs/>
        </w:rPr>
        <w:t xml:space="preserve">UP</w:t>
      </w:r>
      <w:r>
        <w:t xml:space="preserve"> </w:t>
      </w:r>
      <w:r>
        <w:t xml:space="preserve">even if the database is down (TD-017); its real connection is confirmed in phase 8 with a query of payment accounts.</w:t>
      </w:r>
    </w:p>
    <w:p>
      <w:pPr>
        <w:pStyle w:val="BodyText"/>
      </w:pPr>
      <w:r>
        <w:rPr>
          <w:b/>
          <w:bCs/>
        </w:rPr>
        <w:t xml:space="preserve">Evidence:</w:t>
      </w:r>
      <w:r>
        <w:t xml:space="preserve"> </w:t>
      </w:r>
      <w:r>
        <w:t xml:space="preserve">output of the health loop and of the table count.</w:t>
      </w:r>
    </w:p>
    <w:bookmarkEnd w:id="43"/>
    <w:bookmarkStart w:id="45"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current scope,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For a production environment, the</w:t>
      </w:r>
      <w:r>
        <w:t xml:space="preserve"> </w:t>
      </w:r>
      <w:r>
        <w:rPr>
          <w:i/>
          <w:iCs/>
        </w:rPr>
        <w:t xml:space="preserve">dist/</w:t>
      </w:r>
      <w:r>
        <w:t xml:space="preserve"> </w:t>
      </w:r>
      <w:r>
        <w:t xml:space="preserve">folder generated in phase 2 must be published on a web server behind the gateway and with HTTPS (section 14, risk R-I08).</w:t>
      </w:r>
    </w:p>
    <w:p>
      <w:pPr>
        <w:pStyle w:val="Compact"/>
        <w:numPr>
          <w:ilvl w:val="0"/>
          <w:numId w:val="1025"/>
        </w:numPr>
      </w:pPr>
      <w:r>
        <w:rPr>
          <w:b/>
          <w:bCs/>
        </w:rPr>
        <w:t xml:space="preserve">Mobile application (optional).</w:t>
      </w:r>
      <w:r>
        <w:t xml:space="preserve"> </w:t>
      </w:r>
      <w:r>
        <w:t xml:space="preserve">Set</w:t>
      </w:r>
      <w:r>
        <w:t xml:space="preserve"> </w:t>
      </w:r>
      <w:r>
        <w:rPr>
          <w:i/>
          <w:iCs/>
        </w:rPr>
        <w:t xml:space="preserve">EXPO_PUBLIC_API_URL</w:t>
      </w:r>
      <w:r>
        <w:t xml:space="preserve"> </w:t>
      </w:r>
      <w:r>
        <w:t xml:space="preserve">to the IPv4 address of the server (for example,</w:t>
      </w:r>
      <w:r>
        <w:t xml:space="preserve"> </w:t>
      </w:r>
      <w:hyperlink r:id="rId44">
        <w:r>
          <w:rPr>
            <w:rStyle w:val="Hyperlink"/>
            <w:i/>
            <w:iCs/>
          </w:rPr>
          <w:t xml:space="preserve">http://192.168.1.10:8080/api/v1</w:t>
        </w:r>
      </w:hyperlink>
      <w:r>
        <w:t xml:space="preserve">) and start Expo (</w:t>
      </w:r>
      <w:r>
        <w:rPr>
          <w:i/>
          <w:iCs/>
        </w:rPr>
        <w:t xml:space="preserve">npx expo start</w:t>
      </w:r>
      <w:r>
        <w:t xml:space="preserve">). Push notifications require a build made with EAS and</w:t>
      </w:r>
      <w:r>
        <w:t xml:space="preserve"> </w:t>
      </w:r>
      <w:r>
        <w:rPr>
          <w:i/>
          <w:iCs/>
        </w:rPr>
        <w:t xml:space="preserve">PUSH_ENABLED=true</w:t>
      </w:r>
      <w:r>
        <w:t xml:space="preserve">.</w:t>
      </w:r>
    </w:p>
    <w:p>
      <w:pPr>
        <w:pStyle w:val="FirstParagraph"/>
      </w:pPr>
      <w:r>
        <w:rPr>
          <w:b/>
          <w:bCs/>
        </w:rPr>
        <w:t xml:space="preserve">Evidence:</w:t>
      </w:r>
      <w:r>
        <w:t xml:space="preserve"> </w:t>
      </w:r>
      <w:r>
        <w:t xml:space="preserve">screenshot of the welcome screen served from the server, with the address bar visible.</w:t>
      </w:r>
    </w:p>
    <w:bookmarkEnd w:id="45"/>
    <w:bookmarkStart w:id="46"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Public registration and assignment of the ADMIN role in</w:t>
            </w:r>
            <w:r>
              <w:t xml:space="preserve"> </w:t>
            </w:r>
            <w:r>
              <w:rPr>
                <w:i/>
                <w:iCs/>
              </w:rPr>
              <w:t xml:space="preserve">security.user_role</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bl>
    <w:p>
      <w:pPr>
        <w:pStyle w:val="BodyText"/>
      </w:pPr>
      <w:r>
        <w:rPr>
          <w:i/>
          <w:iCs/>
        </w:rPr>
        <w:t xml:space="preserve">Note.</w:t>
      </w:r>
      <w:r>
        <w:t xml:space="preserve"> </w:t>
      </w:r>
      <w:r>
        <w:t xml:space="preserve">The business data of Settings &gt; Business data is saved only in the browser (TD-013); the data of the premises that customers see (address, phone, and email) comes from the table</w:t>
      </w:r>
      <w:r>
        <w:t xml:space="preserve"> </w:t>
      </w:r>
      <w:r>
        <w:rPr>
          <w:i/>
          <w:iCs/>
        </w:rPr>
        <w:t xml:space="preserve">booking.establishment</w:t>
      </w:r>
      <w:r>
        <w:t xml:space="preserve">, loaded by seed 109, and is corrected with SQL if it does not belong to the car wash.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6"/>
    <w:bookmarkStart w:id="47"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Assignment of an operator by the administrator.</w:t>
            </w:r>
          </w:p>
        </w:tc>
        <w:tc>
          <w:tcPr/>
          <w:p>
            <w:pPr>
              <w:pStyle w:val="Compact"/>
            </w:pPr>
            <w:r>
              <w:t xml:space="preserve">Notification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7"/>
    <w:bookmarkStart w:id="48"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8"/>
    <w:bookmarkStart w:id="49"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9"/>
    <w:bookmarkStart w:id="50"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50"/>
    <w:bookmarkStart w:id="51"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1"/>
    <w:bookmarkEnd w:id="52"/>
    <w:bookmarkStart w:id="53"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3"/>
    <w:bookmarkStart w:id="54"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4"/>
    <w:bookmarkStart w:id="55"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health endpoint of payment-service says</w:t>
            </w:r>
            <w:r>
              <w:t xml:space="preserve"> </w:t>
            </w:r>
            <w:r>
              <w:rPr>
                <w:i/>
                <w:iCs/>
              </w:rPr>
              <w:t xml:space="preserve">UP</w:t>
            </w:r>
            <w:r>
              <w:t xml:space="preserve"> </w:t>
            </w:r>
            <w:r>
              <w:t xml:space="preserve">with the database down (TD-017).</w:t>
            </w:r>
          </w:p>
        </w:tc>
        <w:tc>
          <w:tcPr/>
          <w:p>
            <w:pPr>
              <w:pStyle w:val="Compact"/>
            </w:pPr>
            <w:r>
              <w:t xml:space="preserve">Low</w:t>
            </w:r>
          </w:p>
        </w:tc>
        <w:tc>
          <w:tcPr/>
          <w:p>
            <w:pPr>
              <w:pStyle w:val="Compact"/>
            </w:pPr>
            <w:r>
              <w:t xml:space="preserve">Medium</w:t>
            </w:r>
          </w:p>
        </w:tc>
        <w:tc>
          <w:tcPr/>
          <w:p>
            <w:pPr>
              <w:pStyle w:val="Compact"/>
            </w:pPr>
            <w:r>
              <w:t xml:space="preserve">Test H5 with a real query.</w:t>
            </w:r>
          </w:p>
        </w:tc>
      </w:tr>
      <w:tr>
        <w:tc>
          <w:tcPr/>
          <w:p>
            <w:pPr>
              <w:pStyle w:val="Compact"/>
            </w:pPr>
            <w:r>
              <w:t xml:space="preserve">R-I05</w:t>
            </w:r>
          </w:p>
        </w:tc>
        <w:tc>
          <w:tcPr/>
          <w:p>
            <w:pPr>
              <w:pStyle w:val="Compact"/>
            </w:pPr>
            <w:r>
              <w:t xml:space="preserve">There is no login attempt limit (TD-003).</w:t>
            </w:r>
          </w:p>
        </w:tc>
        <w:tc>
          <w:tcPr/>
          <w:p>
            <w:pPr>
              <w:pStyle w:val="Compact"/>
            </w:pPr>
            <w:r>
              <w:t xml:space="preserve">Medium</w:t>
            </w:r>
          </w:p>
        </w:tc>
        <w:tc>
          <w:tcPr/>
          <w:p>
            <w:pPr>
              <w:pStyle w:val="Compact"/>
            </w:pPr>
            <w:r>
              <w:t xml:space="preserve">High</w:t>
            </w:r>
          </w:p>
        </w:tc>
        <w:tc>
          <w:tcPr/>
          <w:p>
            <w:pPr>
              <w:pStyle w:val="Compact"/>
            </w:pPr>
            <w:r>
              <w:t xml:space="preserve">Do not expose the system to the internet; long and unique passwords for administrators.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The web application is served with</w:t>
            </w:r>
            <w:r>
              <w:t xml:space="preserve"> </w:t>
            </w:r>
            <w:r>
              <w:rPr>
                <w:i/>
                <w:iCs/>
              </w:rPr>
              <w:t xml:space="preserve">ng serve</w:t>
            </w:r>
            <w:r>
              <w:t xml:space="preserve"> </w:t>
            </w:r>
            <w:r>
              <w:t xml:space="preserve">and without HTTPS outside the local network.</w:t>
            </w:r>
          </w:p>
        </w:tc>
        <w:tc>
          <w:tcPr/>
          <w:p>
            <w:pPr>
              <w:pStyle w:val="Compact"/>
            </w:pPr>
            <w:r>
              <w:t xml:space="preserve">Medium</w:t>
            </w:r>
          </w:p>
        </w:tc>
        <w:tc>
          <w:tcPr/>
          <w:p>
            <w:pPr>
              <w:pStyle w:val="Compact"/>
            </w:pPr>
            <w:r>
              <w:t xml:space="preserve">High</w:t>
            </w:r>
          </w:p>
        </w:tc>
        <w:tc>
          <w:tcPr/>
          <w:p>
            <w:pPr>
              <w:pStyle w:val="Compact"/>
            </w:pPr>
            <w:r>
              <w:t xml:space="preserve">Keep the system on the local network; for production, serve</w:t>
            </w:r>
            <w:r>
              <w:t xml:space="preserve"> </w:t>
            </w:r>
            <w:r>
              <w:rPr>
                <w:i/>
                <w:iCs/>
              </w:rPr>
              <w:t xml:space="preserve">dist/</w:t>
            </w:r>
            <w:r>
              <w:t xml:space="preserve"> </w:t>
            </w:r>
            <w:r>
              <w:t xml:space="preserve">behind the gateway with TLS 1.2 or later.</w:t>
            </w:r>
          </w:p>
        </w:tc>
      </w:tr>
      <w:tr>
        <w:tc>
          <w:tcPr/>
          <w:p>
            <w:pPr>
              <w:pStyle w:val="Compact"/>
            </w:pPr>
            <w:r>
              <w:t xml:space="preserve">R-I09</w:t>
            </w:r>
          </w:p>
        </w:tc>
        <w:tc>
          <w:tcPr/>
          <w:p>
            <w:pPr>
              <w:pStyle w:val="Compact"/>
            </w:pPr>
            <w:r>
              <w:t xml:space="preserve">The web test suite does not compile (TD-001) and a client regression goes undetected.</w:t>
            </w:r>
          </w:p>
        </w:tc>
        <w:tc>
          <w:tcPr/>
          <w:p>
            <w:pPr>
              <w:pStyle w:val="Compact"/>
            </w:pPr>
            <w:r>
              <w:t xml:space="preserve">Medium</w:t>
            </w:r>
          </w:p>
        </w:tc>
        <w:tc>
          <w:tcPr/>
          <w:p>
            <w:pPr>
              <w:pStyle w:val="Compact"/>
            </w:pPr>
            <w:r>
              <w:t xml:space="preserve">Medium</w:t>
            </w:r>
          </w:p>
        </w:tc>
        <w:tc>
          <w:tcPr/>
          <w:p>
            <w:pPr>
              <w:pStyle w:val="Compact"/>
            </w:pPr>
            <w:r>
              <w:t xml:space="preserve">Complete manual smoke and acceptance tests; fix TD-001.</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the following would also be missing: continuous integration per repository, hosted SQL Server and RabbitMQ with the secrets in the provider's secret store, the web application built and served behind the gateway, HTTPS, one database login per service instead of</w:t>
      </w:r>
      <w:r>
        <w:t xml:space="preserve"> </w:t>
      </w:r>
      <w:r>
        <w:rPr>
          <w:i/>
          <w:iCs/>
        </w:rPr>
        <w:t xml:space="preserve">sa</w:t>
      </w:r>
      <w:r>
        <w:t xml:space="preserve">, and an Outbox for events if losing an event during a broker outage is not acceptable (Vehicle Washing Development Team, 2026a).</w:t>
      </w:r>
    </w:p>
    <w:bookmarkEnd w:id="55"/>
    <w:bookmarkStart w:id="56"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Administrator announcement from the panel (</w:t>
            </w:r>
            <w:r>
              <w:rPr>
                <w:i/>
                <w:iCs/>
              </w:rPr>
              <w:t xml:space="preserve">SYSTEM_MESSAGE</w:t>
            </w:r>
            <w:r>
              <w:t xml:space="preserve">) and direct message</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6"/>
    <w:bookmarkStart w:id="57"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7"/>
    <w:bookmarkStart w:id="58"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8"/>
    <w:bookmarkStart w:id="63"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9">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60">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1">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2">
        <w:r>
          <w:rPr>
            <w:rStyle w:val="Hyperlink"/>
          </w:rPr>
          <w:t xml:space="preserve">https://12factor.net/config</w:t>
        </w:r>
      </w:hyperlink>
    </w:p>
    <w:bookmarkEnd w:id="63"/>
    <w:bookmarkStart w:id="69" w:name="X0dfec30307d35ad53dd5c24971901dbae401842"/>
    <w:p>
      <w:pPr>
        <w:pStyle w:val="Heading2"/>
      </w:pPr>
      <w:r>
        <w:t xml:space="preserve">18. Annexes</w:t>
      </w:r>
    </w:p>
    <w:bookmarkStart w:id="64"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4"/>
    <w:bookmarkStart w:id="65"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5"/>
    <w:bookmarkStart w:id="66"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6"/>
    <w:bookmarkStart w:id="67"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7"/>
    <w:bookmarkStart w:id="68"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192.168.1.10:8080/api/v1" TargetMode="External" /><Relationship Type="http://schemas.openxmlformats.org/officeDocument/2006/relationships/hyperlink" Id="rId62" Target="https://12factor.net/config" TargetMode="External" /><Relationship Type="http://schemas.openxmlformats.org/officeDocument/2006/relationships/hyperlink" Id="rId61" Target="https://github.com/BrayanCABRERA123/lavarapido-infra" TargetMode="External" /><Relationship Type="http://schemas.openxmlformats.org/officeDocument/2006/relationships/hyperlink" Id="rId60" Target="https://github.com/code-sena/vehicle-w-docs" TargetMode="External" /><Relationship Type="http://schemas.openxmlformats.org/officeDocument/2006/relationships/hyperlink" Id="rId59"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44" Target="http://192.168.1.10:8080/api/v1" TargetMode="External" /><Relationship Type="http://schemas.openxmlformats.org/officeDocument/2006/relationships/hyperlink" Id="rId62" Target="https://12factor.net/config" TargetMode="External" /><Relationship Type="http://schemas.openxmlformats.org/officeDocument/2006/relationships/hyperlink" Id="rId61" Target="https://github.com/BrayanCABRERA123/lavarapido-infra" TargetMode="External" /><Relationship Type="http://schemas.openxmlformats.org/officeDocument/2006/relationships/hyperlink" Id="rId60" Target="https://github.com/code-sena/vehicle-w-docs" TargetMode="External" /><Relationship Type="http://schemas.openxmlformats.org/officeDocument/2006/relationships/hyperlink" Id="rId59"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2026-10-15T22:29:55Z</dcterms:created>
  <dcterms:modified xsi:type="dcterms:W3CDTF">2026-10-15T22:29:55Z</dcterms:modified>
</cp:coreProperties>
</file>

<file path=docProps/custom.xml><?xml version="1.0" encoding="utf-8"?>
<Properties xmlns="http://schemas.openxmlformats.org/officeDocument/2006/custom-properties" xmlns:vt="http://schemas.openxmlformats.org/officeDocument/2006/docPropsVTypes"/>
</file>