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9 de octubre de 2026</w:t>
      </w:r>
    </w:p>
    <w:p>
      <w:pPr>
        <w:pStyle w:val="BodyText"/>
      </w:pPr>
      <w:r>
        <w:t xml:space="preserve">Tipo de documento: Registro de acciones correctivas, preventivas y de mejoramiento (equipo de desarrollo e instructora) · Versión 1.0</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9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y del 9 de octubre de 2026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ACO-01</w:t>
            </w:r>
          </w:p>
        </w:tc>
        <w:tc>
          <w:tcPr/>
          <w:p>
            <w:pPr>
              <w:pStyle w:val="Compact"/>
            </w:pPr>
            <w:r>
              <w:t xml:space="preserve">La suite de pruebas web no compila.</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apuntan a clases que ya no existen (</w:t>
            </w:r>
            <w:r>
              <w:rPr>
                <w:i/>
                <w:iCs/>
              </w:rPr>
              <w:t xml:space="preserve">features/*/viewmodels/*.spec.ts</w:t>
            </w:r>
            <w:r>
              <w:t xml:space="preserve">,</w:t>
            </w:r>
            <w:r>
              <w:t xml:space="preserve"> </w:t>
            </w:r>
            <w:r>
              <w:rPr>
                <w:i/>
                <w:iCs/>
              </w:rPr>
              <w:t xml:space="preserve">settings-panel.spec.ts</w:t>
            </w:r>
            <w:r>
              <w:t xml:space="preserve">,</w:t>
            </w:r>
            <w:r>
              <w:t xml:space="preserve"> </w:t>
            </w:r>
            <w:r>
              <w:rPr>
                <w:i/>
                <w:iCs/>
              </w:rPr>
              <w:t xml:space="preserve">stepper.spec.ts</w:t>
            </w:r>
            <w:r>
              <w:t xml:space="preserve">).</w:t>
            </w:r>
          </w:p>
        </w:tc>
        <w:tc>
          <w:tcPr/>
          <w:p>
            <w:pPr>
              <w:pStyle w:val="Compact"/>
            </w:pPr>
            <w:r>
              <w:t xml:space="preserve">Corregir o eliminar esos archivos y agregar pruebas del formulario de reserva y de los</w:t>
            </w:r>
            <w:r>
              <w:t xml:space="preserve"> </w:t>
            </w:r>
            <w:r>
              <w:rPr>
                <w:i/>
                <w:iCs/>
              </w:rPr>
              <w:t xml:space="preserve">stores</w:t>
            </w:r>
            <w:r>
              <w:t xml:space="preserve">.</w:t>
            </w:r>
          </w:p>
        </w:tc>
        <w:tc>
          <w:tcPr/>
          <w:p>
            <w:pPr>
              <w:pStyle w:val="Compact"/>
            </w:pPr>
            <w:r>
              <w:t xml:space="preserve">Líder de frontend</w:t>
            </w:r>
          </w:p>
        </w:tc>
        <w:tc>
          <w:tcPr/>
          <w:p>
            <w:pPr>
              <w:pStyle w:val="Compact"/>
            </w:pPr>
            <w:r>
              <w:t xml:space="preserve">Alta</w:t>
            </w:r>
          </w:p>
        </w:tc>
        <w:tc>
          <w:tcPr/>
          <w:p>
            <w:pPr>
              <w:pStyle w:val="Compact"/>
            </w:pPr>
            <w:r>
              <w:rPr>
                <w:i/>
                <w:iCs/>
              </w:rPr>
              <w:t xml:space="preserve">npx ng test --watch=false</w:t>
            </w:r>
            <w:r>
              <w:t xml:space="preserve"> </w:t>
            </w:r>
            <w:r>
              <w:t xml:space="preserve">pasa. (TD-001)</w:t>
            </w:r>
          </w:p>
        </w:tc>
      </w:tr>
      <w:tr>
        <w:tc>
          <w:tcPr/>
          <w:p>
            <w:pPr>
              <w:pStyle w:val="Compact"/>
            </w:pPr>
            <w:r>
              <w:t xml:space="preserve">ACO-02</w:t>
            </w:r>
          </w:p>
        </w:tc>
        <w:tc>
          <w:tcPr/>
          <w:p>
            <w:pPr>
              <w:pStyle w:val="Compact"/>
            </w:pPr>
            <w:r>
              <w:t xml:space="preserve">No existe límite de intentos de inicio de sesión.</w:t>
            </w:r>
          </w:p>
        </w:tc>
        <w:tc>
          <w:tcPr/>
          <w:p>
            <w:pPr>
              <w:pStyle w:val="Compact"/>
            </w:pPr>
            <w:r>
              <w:t xml:space="preserve">P1</w:t>
            </w:r>
          </w:p>
        </w:tc>
        <w:tc>
          <w:tcPr/>
          <w:p>
            <w:pPr>
              <w:pStyle w:val="Compact"/>
            </w:pPr>
            <w:r>
              <w:t xml:space="preserve">El requisito RF-004b no se implementó en security-service.</w:t>
            </w:r>
          </w:p>
        </w:tc>
        <w:tc>
          <w:tcPr/>
          <w:p>
            <w:pPr>
              <w:pStyle w:val="Compact"/>
            </w:pPr>
            <w:r>
              <w:t xml:space="preserve">Bloqueo temporal o retardo progresivo tras cinco intentos fallidos, con prueba de seguridad.</w:t>
            </w:r>
          </w:p>
        </w:tc>
        <w:tc>
          <w:tcPr/>
          <w:p>
            <w:pPr>
              <w:pStyle w:val="Compact"/>
            </w:pPr>
            <w:r>
              <w:t xml:space="preserve">Líder de backend</w:t>
            </w:r>
          </w:p>
        </w:tc>
        <w:tc>
          <w:tcPr/>
          <w:p>
            <w:pPr>
              <w:pStyle w:val="Compact"/>
            </w:pPr>
            <w:r>
              <w:t xml:space="preserve">Alta</w:t>
            </w:r>
          </w:p>
        </w:tc>
        <w:tc>
          <w:tcPr/>
          <w:p>
            <w:pPr>
              <w:pStyle w:val="Compact"/>
            </w:pPr>
            <w:r>
              <w:t xml:space="preserve">Prueba que demuestra el bloqueo y manuales actualizados. (TD-003)</w:t>
            </w:r>
          </w:p>
        </w:tc>
      </w:tr>
      <w:tr>
        <w:tc>
          <w:tcPr/>
          <w:p>
            <w:pPr>
              <w:pStyle w:val="Compact"/>
            </w:pPr>
            <w:r>
              <w:t xml:space="preserve">ACO-03</w:t>
            </w:r>
          </w:p>
        </w:tc>
        <w:tc>
          <w:tcPr/>
          <w:p>
            <w:pPr>
              <w:pStyle w:val="Compact"/>
            </w:pPr>
            <w:r>
              <w:t xml:space="preserve">La aceptación de los Términos y de la Política de Tratamiento de Datos no se guarda en el servidor.</w:t>
            </w:r>
          </w:p>
        </w:tc>
        <w:tc>
          <w:tcPr/>
          <w:p>
            <w:pPr>
              <w:pStyle w:val="Compact"/>
            </w:pPr>
            <w:r>
              <w:t xml:space="preserve">P1</w:t>
            </w:r>
          </w:p>
        </w:tc>
        <w:tc>
          <w:tcPr/>
          <w:p>
            <w:pPr>
              <w:pStyle w:val="Compact"/>
            </w:pPr>
            <w:r>
              <w:t xml:space="preserve">La tabla</w:t>
            </w:r>
            <w:r>
              <w:t xml:space="preserve"> </w:t>
            </w:r>
            <w:r>
              <w:rPr>
                <w:i/>
                <w:iCs/>
              </w:rPr>
              <w:t xml:space="preserve">security.user_consent</w:t>
            </w:r>
            <w:r>
              <w:t xml:space="preserve"> </w:t>
            </w:r>
            <w:r>
              <w:t xml:space="preserve">quedó pendiente (ADR-010).</w:t>
            </w:r>
          </w:p>
        </w:tc>
        <w:tc>
          <w:tcPr/>
          <w:p>
            <w:pPr>
              <w:pStyle w:val="Compact"/>
            </w:pPr>
            <w:r>
              <w:t xml:space="preserve">Registrar la versión del documento aceptado, la fecha y la cuenta, como evidencia exigida por la Ley 1581 de 2012 (Congreso de la República de Colombia, 2012).</w:t>
            </w:r>
          </w:p>
        </w:tc>
        <w:tc>
          <w:tcPr/>
          <w:p>
            <w:pPr>
              <w:pStyle w:val="Compact"/>
            </w:pPr>
            <w:r>
              <w:t xml:space="preserve">Líder de backend</w:t>
            </w:r>
          </w:p>
        </w:tc>
        <w:tc>
          <w:tcPr/>
          <w:p>
            <w:pPr>
              <w:pStyle w:val="Compact"/>
            </w:pPr>
            <w:r>
              <w:t xml:space="preserve">Alta</w:t>
            </w:r>
          </w:p>
        </w:tc>
        <w:tc>
          <w:tcPr/>
          <w:p>
            <w:pPr>
              <w:pStyle w:val="Compact"/>
            </w:pPr>
            <w:r>
              <w:t xml:space="preserve">Consentimiento consultable por cuenta.</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ACO-05</w:t>
            </w:r>
          </w:p>
        </w:tc>
        <w:tc>
          <w:tcPr/>
          <w:p>
            <w:pPr>
              <w:pStyle w:val="Compact"/>
            </w:pPr>
            <w:r>
              <w:t xml:space="preserve">El endpoint de salud de payment-service responde</w:t>
            </w:r>
            <w:r>
              <w:t xml:space="preserve"> </w:t>
            </w:r>
            <w:r>
              <w:rPr>
                <w:i/>
                <w:iCs/>
              </w:rPr>
              <w:t xml:space="preserve">UP</w:t>
            </w:r>
            <w:r>
              <w:t xml:space="preserve"> </w:t>
            </w:r>
            <w:r>
              <w:t xml:space="preserve">con la base caída y el servicio no tiene filtro de</w:t>
            </w:r>
            <w:r>
              <w:t xml:space="preserve"> </w:t>
            </w:r>
            <w:r>
              <w:rPr>
                <w:i/>
                <w:iCs/>
              </w:rPr>
              <w:t xml:space="preserve">X-Correlation-Id</w:t>
            </w:r>
            <w:r>
              <w:t xml:space="preserve">.</w:t>
            </w:r>
          </w:p>
        </w:tc>
        <w:tc>
          <w:tcPr/>
          <w:p>
            <w:pPr>
              <w:pStyle w:val="Compact"/>
            </w:pPr>
            <w:r>
              <w:t xml:space="preserve">P2</w:t>
            </w:r>
          </w:p>
        </w:tc>
        <w:tc>
          <w:tcPr/>
          <w:p>
            <w:pPr>
              <w:pStyle w:val="Compact"/>
            </w:pPr>
            <w:r>
              <w:t xml:space="preserve">El endpoint devuelve un valor fijo.</w:t>
            </w:r>
          </w:p>
        </w:tc>
        <w:tc>
          <w:tcPr/>
          <w:p>
            <w:pPr>
              <w:pStyle w:val="Compact"/>
            </w:pPr>
            <w:r>
              <w:t xml:space="preserve">Chequeo de salud de EF Core contra SQL Server y filtro de correlación.</w:t>
            </w:r>
          </w:p>
        </w:tc>
        <w:tc>
          <w:tcPr/>
          <w:p>
            <w:pPr>
              <w:pStyle w:val="Compact"/>
            </w:pPr>
            <w:r>
              <w:t xml:space="preserve">Líder de backend</w:t>
            </w:r>
          </w:p>
        </w:tc>
        <w:tc>
          <w:tcPr/>
          <w:p>
            <w:pPr>
              <w:pStyle w:val="Compact"/>
            </w:pPr>
            <w:r>
              <w:t xml:space="preserve">Media</w:t>
            </w:r>
          </w:p>
        </w:tc>
        <w:tc>
          <w:tcPr/>
          <w:p>
            <w:pPr>
              <w:pStyle w:val="Compact"/>
            </w:pPr>
            <w:r>
              <w:rPr>
                <w:i/>
                <w:iCs/>
              </w:rPr>
              <w:t xml:space="preserve">/actuator/health</w:t>
            </w:r>
            <w:r>
              <w:t xml:space="preserve"> </w:t>
            </w:r>
            <w:r>
              <w:t xml:space="preserve">responde</w:t>
            </w:r>
            <w:r>
              <w:t xml:space="preserve"> </w:t>
            </w:r>
            <w:r>
              <w:rPr>
                <w:i/>
                <w:iCs/>
              </w:rPr>
              <w:t xml:space="preserve">DOWN</w:t>
            </w:r>
            <w:r>
              <w:t xml:space="preserve"> </w:t>
            </w:r>
            <w:r>
              <w:t xml:space="preserve">sin base de datos. (TD-017)</w:t>
            </w:r>
          </w:p>
        </w:tc>
      </w:tr>
      <w:tr>
        <w:tc>
          <w:tcPr/>
          <w:p>
            <w:pPr>
              <w:pStyle w:val="Compact"/>
            </w:pPr>
            <w:r>
              <w:t xml:space="preserve">ACO-06</w:t>
            </w:r>
          </w:p>
        </w:tc>
        <w:tc>
          <w:tcPr/>
          <w:p>
            <w:pPr>
              <w:pStyle w:val="Compact"/>
            </w:pPr>
            <w:r>
              <w:t xml:space="preserve">Los textos de reembolso (</w:t>
            </w:r>
            <w:r>
              <w:rPr>
                <w:i/>
                <w:iCs/>
              </w:rPr>
              <w:t xml:space="preserve">Reembolsar</w:t>
            </w:r>
            <w:r>
              <w:t xml:space="preserve">, confirmación y resultado) están fijos en español y no cambian con el idioma.</w:t>
            </w:r>
          </w:p>
        </w:tc>
        <w:tc>
          <w:tcPr/>
          <w:p>
            <w:pPr>
              <w:pStyle w:val="Compact"/>
            </w:pPr>
            <w:r>
              <w:t xml:space="preserve">P3</w:t>
            </w:r>
          </w:p>
        </w:tc>
        <w:tc>
          <w:tcPr/>
          <w:p>
            <w:pPr>
              <w:pStyle w:val="Compact"/>
            </w:pPr>
            <w:r>
              <w:t xml:space="preserve">Se dejaron en</w:t>
            </w:r>
            <w:r>
              <w:t xml:space="preserve"> </w:t>
            </w:r>
            <w:r>
              <w:rPr>
                <w:i/>
                <w:iCs/>
              </w:rPr>
              <w:t xml:space="preserve">core/constants/payment-texts.ts</w:t>
            </w:r>
            <w:r>
              <w:t xml:space="preserve"> </w:t>
            </w:r>
            <w:r>
              <w:t xml:space="preserve">de forma temporal para no editar los archivos de idioma.</w:t>
            </w:r>
          </w:p>
        </w:tc>
        <w:tc>
          <w:tcPr/>
          <w:p>
            <w:pPr>
              <w:pStyle w:val="Compact"/>
            </w:pPr>
            <w:r>
              <w:t xml:space="preserve">Pasar los textos a</w:t>
            </w:r>
            <w:r>
              <w:t xml:space="preserve"> </w:t>
            </w:r>
            <w:r>
              <w:rPr>
                <w:i/>
                <w:iCs/>
              </w:rPr>
              <w:t xml:space="preserve">ADMIN_PAYMENTS</w:t>
            </w:r>
            <w:r>
              <w:t xml:space="preserve"> </w:t>
            </w:r>
            <w:r>
              <w:t xml:space="preserve">y</w:t>
            </w:r>
            <w:r>
              <w:t xml:space="preserve"> </w:t>
            </w:r>
            <w:r>
              <w:rPr>
                <w:i/>
                <w:iCs/>
              </w:rPr>
              <w:t xml:space="preserve">PAYMENT_REVIEW_MODAL</w:t>
            </w:r>
            <w:r>
              <w:t xml:space="preserve"> </w:t>
            </w:r>
            <w:r>
              <w:t xml:space="preserve">en los cuatro idiomas y borrar el archivo temporal.</w:t>
            </w:r>
          </w:p>
        </w:tc>
        <w:tc>
          <w:tcPr/>
          <w:p>
            <w:pPr>
              <w:pStyle w:val="Compact"/>
            </w:pPr>
            <w:r>
              <w:t xml:space="preserve">Líder de frontend</w:t>
            </w:r>
          </w:p>
        </w:tc>
        <w:tc>
          <w:tcPr/>
          <w:p>
            <w:pPr>
              <w:pStyle w:val="Compact"/>
            </w:pPr>
            <w:r>
              <w:t xml:space="preserve">Media</w:t>
            </w:r>
          </w:p>
        </w:tc>
        <w:tc>
          <w:tcPr/>
          <w:p>
            <w:pPr>
              <w:pStyle w:val="Compact"/>
            </w:pPr>
            <w:r>
              <w:t xml:space="preserve">Textos traducidos en inglés, francés y portugués.</w:t>
            </w:r>
          </w:p>
        </w:tc>
      </w:tr>
      <w:tr>
        <w:tc>
          <w:tcPr/>
          <w:p>
            <w:pPr>
              <w:pStyle w:val="Compact"/>
            </w:pPr>
            <w:r>
              <w:t xml:space="preserve">ACO-07</w:t>
            </w:r>
          </w:p>
        </w:tc>
        <w:tc>
          <w:tcPr/>
          <w:p>
            <w:pPr>
              <w:pStyle w:val="Compact"/>
            </w:pPr>
            <w:r>
              <w:t xml:space="preserve">El botón "Reportar avance" del operario muestra "El cliente recibirá la actualización", pero no envía nada.</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Enviar una notificación real al cliente o retirar el botón y el mensaje.</w:t>
            </w:r>
          </w:p>
        </w:tc>
        <w:tc>
          <w:tcPr/>
          <w:p>
            <w:pPr>
              <w:pStyle w:val="Compact"/>
            </w:pPr>
            <w:r>
              <w:t xml:space="preserve">Líder de frontend</w:t>
            </w:r>
          </w:p>
        </w:tc>
        <w:tc>
          <w:tcPr/>
          <w:p>
            <w:pPr>
              <w:pStyle w:val="Compact"/>
            </w:pPr>
            <w:r>
              <w:t xml:space="preserve">Media</w:t>
            </w:r>
          </w:p>
        </w:tc>
        <w:tc>
          <w:tcPr/>
          <w:p>
            <w:pPr>
              <w:pStyle w:val="Compact"/>
            </w:pPr>
            <w:r>
              <w:t xml:space="preserve">Notificación recibida o botón eliminado.</w:t>
            </w:r>
          </w:p>
        </w:tc>
      </w:tr>
      <w:tr>
        <w:tc>
          <w:tcPr/>
          <w:p>
            <w:pPr>
              <w:pStyle w:val="Compact"/>
            </w:pPr>
            <w:r>
              <w:t xml:space="preserve">ACO-08</w:t>
            </w:r>
          </w:p>
        </w:tc>
        <w:tc>
          <w:tcPr/>
          <w:p>
            <w:pPr>
              <w:pStyle w:val="Compact"/>
            </w:pPr>
            <w:r>
              <w:t xml:space="preserve">La página de bienvenida anuncia un servicio de lavado "donde estés" y el historial del operario muestra medios de pago (tarjeta, PSE) que el sistema no admite.</w:t>
            </w:r>
          </w:p>
        </w:tc>
        <w:tc>
          <w:tcPr/>
          <w:p>
            <w:pPr>
              <w:pStyle w:val="Compact"/>
            </w:pPr>
            <w:r>
              <w:t xml:space="preserve">P3</w:t>
            </w:r>
          </w:p>
        </w:tc>
        <w:tc>
          <w:tcPr/>
          <w:p>
            <w:pPr>
              <w:pStyle w:val="Compact"/>
            </w:pPr>
            <w:r>
              <w:t xml:space="preserve">Textos de maqueta que no se ajustaron al alcance real.</w:t>
            </w:r>
          </w:p>
        </w:tc>
        <w:tc>
          <w:tcPr/>
          <w:p>
            <w:pPr>
              <w:pStyle w:val="Compact"/>
            </w:pPr>
            <w:r>
              <w:t xml:space="preserve">Ajustar los textos al servicio en el local y a los medios de pago reales.</w:t>
            </w:r>
          </w:p>
        </w:tc>
        <w:tc>
          <w:tcPr/>
          <w:p>
            <w:pPr>
              <w:pStyle w:val="Compact"/>
            </w:pPr>
            <w:r>
              <w:t xml:space="preserve">Líder de frontend</w:t>
            </w:r>
          </w:p>
        </w:tc>
        <w:tc>
          <w:tcPr/>
          <w:p>
            <w:pPr>
              <w:pStyle w:val="Compact"/>
            </w:pPr>
            <w:r>
              <w:t xml:space="preserve">Baja</w:t>
            </w:r>
          </w:p>
        </w:tc>
        <w:tc>
          <w:tcPr/>
          <w:p>
            <w:pPr>
              <w:pStyle w:val="Compact"/>
            </w:pPr>
            <w:r>
              <w:t xml:space="preserve">Textos revisados en los cuatro idiomas.</w:t>
            </w:r>
          </w:p>
        </w:tc>
      </w:tr>
      <w:tr>
        <w:tc>
          <w:tcPr/>
          <w:p>
            <w:pPr>
              <w:pStyle w:val="Compact"/>
            </w:pPr>
            <w:r>
              <w:t xml:space="preserve">ACO-09</w:t>
            </w:r>
          </w:p>
        </w:tc>
        <w:tc>
          <w:tcPr/>
          <w:p>
            <w:pPr>
              <w:pStyle w:val="Compact"/>
            </w:pPr>
            <w:r>
              <w:t xml:space="preserve">No existe ruta comodín: una dirección desconocida muestra una página vacía.</w:t>
            </w:r>
          </w:p>
        </w:tc>
        <w:tc>
          <w:tcPr/>
          <w:p>
            <w:pPr>
              <w:pStyle w:val="Compact"/>
            </w:pPr>
            <w:r>
              <w:t xml:space="preserve">P3</w:t>
            </w:r>
          </w:p>
        </w:tc>
        <w:tc>
          <w:tcPr/>
          <w:p>
            <w:pPr>
              <w:pStyle w:val="Compact"/>
            </w:pPr>
            <w:r>
              <w:t xml:space="preserve">Falta la ruta</w:t>
            </w:r>
            <w:r>
              <w:t xml:space="preserve"> </w:t>
            </w:r>
            <w:r>
              <w:rPr>
                <w:i/>
                <w:iCs/>
              </w:rPr>
              <w:t xml:space="preserve">**</w:t>
            </w:r>
            <w:r>
              <w:t xml:space="preserve"> </w:t>
            </w:r>
            <w:r>
              <w:t xml:space="preserve">en</w:t>
            </w:r>
            <w:r>
              <w:t xml:space="preserve"> </w:t>
            </w:r>
            <w:r>
              <w:rPr>
                <w:i/>
                <w:iCs/>
              </w:rPr>
              <w:t xml:space="preserve">app.routes.ts</w:t>
            </w:r>
            <w:r>
              <w:t xml:space="preserve">.</w:t>
            </w:r>
          </w:p>
        </w:tc>
        <w:tc>
          <w:tcPr/>
          <w:p>
            <w:pPr>
              <w:pStyle w:val="Compact"/>
            </w:pPr>
            <w:r>
              <w:t xml:space="preserve">Página 404 con enlace al inicio de cada rol.</w:t>
            </w:r>
          </w:p>
        </w:tc>
        <w:tc>
          <w:tcPr/>
          <w:p>
            <w:pPr>
              <w:pStyle w:val="Compact"/>
            </w:pPr>
            <w:r>
              <w:t xml:space="preserve">Líder de frontend</w:t>
            </w:r>
          </w:p>
        </w:tc>
        <w:tc>
          <w:tcPr/>
          <w:p>
            <w:pPr>
              <w:pStyle w:val="Compact"/>
            </w:pPr>
            <w:r>
              <w:t xml:space="preserve">Baja</w:t>
            </w:r>
          </w:p>
        </w:tc>
        <w:tc>
          <w:tcPr/>
          <w:p>
            <w:pPr>
              <w:pStyle w:val="Compact"/>
            </w:pPr>
            <w:r>
              <w:t xml:space="preserve">Una dirección inexistente muestra la página 404. (TD-009)</w:t>
            </w:r>
          </w:p>
        </w:tc>
      </w:tr>
      <w:tr>
        <w:tc>
          <w:tcPr/>
          <w:p>
            <w:pPr>
              <w:pStyle w:val="Compact"/>
            </w:pPr>
            <w:r>
              <w:t xml:space="preserve">ACO-10</w:t>
            </w:r>
          </w:p>
        </w:tc>
        <w:tc>
          <w:tcPr/>
          <w:p>
            <w:pPr>
              <w:pStyle w:val="Compact"/>
            </w:pPr>
            <w:r>
              <w:t xml:space="preserve">El informe de inspección y sus fotos se guardan solo en el navegador; el enlace público no abre en otro equipo.</w:t>
            </w:r>
          </w:p>
        </w:tc>
        <w:tc>
          <w:tcPr/>
          <w:p>
            <w:pPr>
              <w:pStyle w:val="Compact"/>
            </w:pPr>
            <w:r>
              <w:t xml:space="preserve">P2</w:t>
            </w:r>
          </w:p>
        </w:tc>
        <w:tc>
          <w:tcPr/>
          <w:p>
            <w:pPr>
              <w:pStyle w:val="Compact"/>
            </w:pPr>
            <w:r>
              <w:t xml:space="preserve">RF-027 no tiene todavía un agregado en el backend.</w:t>
            </w:r>
          </w:p>
        </w:tc>
        <w:tc>
          <w:tcPr/>
          <w:p>
            <w:pPr>
              <w:pStyle w:val="Compact"/>
            </w:pPr>
            <w:r>
              <w:t xml:space="preserve">Persistir el informe en un servicio (o en booking-service) con almacenamiento de imágenes.</w:t>
            </w:r>
          </w:p>
        </w:tc>
        <w:tc>
          <w:tcPr/>
          <w:p>
            <w:pPr>
              <w:pStyle w:val="Compact"/>
            </w:pPr>
            <w:r>
              <w:t xml:space="preserve">Líder de backend</w:t>
            </w:r>
          </w:p>
        </w:tc>
        <w:tc>
          <w:tcPr/>
          <w:p>
            <w:pPr>
              <w:pStyle w:val="Compact"/>
            </w:pPr>
            <w:r>
              <w:t xml:space="preserve">Media</w:t>
            </w:r>
          </w:p>
        </w:tc>
        <w:tc>
          <w:tcPr/>
          <w:p>
            <w:pPr>
              <w:pStyle w:val="Compact"/>
            </w:pPr>
            <w:r>
              <w:t xml:space="preserve">El cliente abre el enlace desde su teléfono.</w:t>
            </w:r>
          </w:p>
        </w:tc>
      </w:tr>
      <w:tr>
        <w:tc>
          <w:tcPr/>
          <w:p>
            <w:pPr>
              <w:pStyle w:val="Compact"/>
            </w:pPr>
            <w:r>
              <w:t xml:space="preserve">ACO-11</w:t>
            </w:r>
          </w:p>
        </w:tc>
        <w:tc>
          <w:tcPr/>
          <w:p>
            <w:pPr>
              <w:pStyle w:val="Compact"/>
            </w:pPr>
            <w:r>
              <w:t xml:space="preserve">Los datos del negocio de Configuración se guardan solo en el navegador del administrador.</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 la definición de sus campos (TD-013).</w:t>
            </w:r>
          </w:p>
        </w:tc>
        <w:tc>
          <w:tcPr/>
          <w:p>
            <w:pPr>
              <w:pStyle w:val="Compact"/>
            </w:pPr>
            <w:r>
              <w:t xml:space="preserve">API de establecimiento para los datos de facturación y ayuda.</w:t>
            </w:r>
          </w:p>
        </w:tc>
        <w:tc>
          <w:tcPr/>
          <w:p>
            <w:pPr>
              <w:pStyle w:val="Compact"/>
            </w:pPr>
            <w:r>
              <w:t xml:space="preserve">Líder de backend</w:t>
            </w:r>
          </w:p>
        </w:tc>
        <w:tc>
          <w:tcPr/>
          <w:p>
            <w:pPr>
              <w:pStyle w:val="Compact"/>
            </w:pPr>
            <w:r>
              <w:t xml:space="preserve">Baja</w:t>
            </w:r>
          </w:p>
        </w:tc>
        <w:tc>
          <w:tcPr/>
          <w:p>
            <w:pPr>
              <w:pStyle w:val="Compact"/>
            </w:pPr>
            <w:r>
              <w:t xml:space="preserve">Los cambios se ven desde otra cuenta.</w:t>
            </w:r>
          </w:p>
        </w:tc>
      </w:tr>
      <w:tr>
        <w:tc>
          <w:tcPr/>
          <w:p>
            <w:pPr>
              <w:pStyle w:val="Compact"/>
            </w:pPr>
            <w:r>
              <w:t xml:space="preserve">ACO-12</w:t>
            </w:r>
          </w:p>
        </w:tc>
        <w:tc>
          <w:tcPr/>
          <w:p>
            <w:pPr>
              <w:pStyle w:val="Compact"/>
            </w:pPr>
            <w:r>
              <w:t xml:space="preserve">El README de</w:t>
            </w:r>
            <w:r>
              <w:t xml:space="preserve"> </w:t>
            </w:r>
            <w:r>
              <w:rPr>
                <w:i/>
                <w:iCs/>
              </w:rPr>
              <w:t xml:space="preserve">lavarapido-infra</w:t>
            </w:r>
            <w:r>
              <w:t xml:space="preserve"> </w:t>
            </w:r>
            <w:r>
              <w:t xml:space="preserve">y la sección 6 de la guía del equipo describen como pendientes servicios y pantallas que ya existen.</w:t>
            </w:r>
          </w:p>
        </w:tc>
        <w:tc>
          <w:tcPr/>
          <w:p>
            <w:pPr>
              <w:pStyle w:val="Compact"/>
            </w:pPr>
            <w:r>
              <w:t xml:space="preserve">P3</w:t>
            </w:r>
          </w:p>
        </w:tc>
        <w:tc>
          <w:tcPr/>
          <w:p>
            <w:pPr>
              <w:pStyle w:val="Compact"/>
            </w:pPr>
            <w:r>
              <w:t xml:space="preserve">Documentos no actualizados al integrar operations-service y payment-service.</w:t>
            </w:r>
          </w:p>
        </w:tc>
        <w:tc>
          <w:tcPr/>
          <w:p>
            <w:pPr>
              <w:pStyle w:val="Compact"/>
            </w:pPr>
            <w:r>
              <w:t xml:space="preserve">Actualizar ambos documentos.</w:t>
            </w:r>
          </w:p>
        </w:tc>
        <w:tc>
          <w:tcPr/>
          <w:p>
            <w:pPr>
              <w:pStyle w:val="Compact"/>
            </w:pPr>
            <w:r>
              <w:t xml:space="preserve">Líder de proyecto</w:t>
            </w:r>
          </w:p>
        </w:tc>
        <w:tc>
          <w:tcPr/>
          <w:p>
            <w:pPr>
              <w:pStyle w:val="Compact"/>
            </w:pPr>
            <w:r>
              <w:t xml:space="preserve">Baja</w:t>
            </w:r>
          </w:p>
        </w:tc>
        <w:tc>
          <w:tcPr/>
          <w:p>
            <w:pPr>
              <w:pStyle w:val="Compact"/>
            </w:pPr>
            <w:r>
              <w:t xml:space="preserve">Documentos coherentes con el código.</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9 de octubre de 2026.</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Pipeline de Jenkins por repositorio (</w:t>
            </w:r>
            <w:r>
              <w:rPr>
                <w:i/>
                <w:iCs/>
              </w:rPr>
              <w:t xml:space="preserve">./mvnw -B verify</w:t>
            </w:r>
            <w:r>
              <w:t xml:space="preserve">,</w:t>
            </w:r>
            <w:r>
              <w:t xml:space="preserve"> </w:t>
            </w:r>
            <w:r>
              <w:rPr>
                <w:i/>
                <w:iCs/>
              </w:rPr>
              <w:t xml:space="preserve">dotnet test</w:t>
            </w:r>
            <w:r>
              <w:t xml:space="preserve">,</w:t>
            </w:r>
            <w:r>
              <w:t xml:space="preserve"> </w:t>
            </w:r>
            <w:r>
              <w:rPr>
                <w:i/>
                <w:iCs/>
              </w:rPr>
              <w:t xml:space="preserve">ng build</w:t>
            </w:r>
            <w:r>
              <w:t xml:space="preserve"> </w:t>
            </w:r>
            <w:r>
              <w:t xml:space="preserve">y</w:t>
            </w:r>
            <w:r>
              <w:t xml:space="preserve"> </w:t>
            </w:r>
            <w:r>
              <w:rPr>
                <w:i/>
                <w:iCs/>
              </w:rPr>
              <w:t xml:space="preserve">ng test</w:t>
            </w:r>
            <w:r>
              <w:t xml:space="preserve">) y regla de integrar solo con el pipeline en verde.</w:t>
            </w:r>
          </w:p>
        </w:tc>
        <w:tc>
          <w:tcPr/>
          <w:p>
            <w:pPr>
              <w:pStyle w:val="Compact"/>
            </w:pPr>
            <w:r>
              <w:t xml:space="preserve">Líder de proyecto</w:t>
            </w:r>
          </w:p>
        </w:tc>
        <w:tc>
          <w:tcPr/>
          <w:p>
            <w:pPr>
              <w:pStyle w:val="Compact"/>
            </w:pPr>
            <w:r>
              <w:t xml:space="preserve">Alta</w:t>
            </w:r>
          </w:p>
        </w:tc>
        <w:tc>
          <w:tcPr/>
          <w:p>
            <w:pPr>
              <w:pStyle w:val="Compact"/>
            </w:pPr>
            <w:r>
              <w:t xml:space="preserve">Abierta</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mensual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Abierta</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además de ACO-02.</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En ejecución</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Abierta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2026-10-09</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23 / 36 = 64 %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2 (ACO-02 y ACO-03)</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Métodos de prueba del backend (</w:t>
            </w:r>
            <w:r>
              <w:rPr>
                <w:i/>
                <w:iCs/>
              </w:rPr>
              <w:t xml:space="preserve">@Test</w:t>
            </w:r>
            <w:r>
              <w:t xml:space="preserve">,</w:t>
            </w:r>
            <w:r>
              <w:t xml:space="preserve"> </w:t>
            </w:r>
            <w:r>
              <w:rPr>
                <w:i/>
                <w:iCs/>
              </w:rPr>
              <w:t xml:space="preserve">@ParameterizedTest</w:t>
            </w:r>
            <w:r>
              <w:t xml:space="preserve">,</w:t>
            </w:r>
            <w:r>
              <w:t xml:space="preserve"> </w:t>
            </w:r>
            <w:r>
              <w:rPr>
                <w:i/>
                <w:iCs/>
              </w:rPr>
              <w:t xml:space="preserve">[Fact]</w:t>
            </w:r>
            <w:r>
              <w:t xml:space="preserve">,</w:t>
            </w:r>
            <w:r>
              <w:t xml:space="preserve"> </w:t>
            </w:r>
            <w:r>
              <w:rPr>
                <w:i/>
                <w:iCs/>
              </w:rPr>
              <w:t xml:space="preserve">[Theory]</w:t>
            </w:r>
            <w:r>
              <w:t xml:space="preserve">)</w:t>
            </w:r>
          </w:p>
        </w:tc>
        <w:tc>
          <w:tcPr/>
          <w:p>
            <w:pPr>
              <w:pStyle w:val="Compact"/>
            </w:pPr>
            <w:r>
              <w:t xml:space="preserve">Creciente</w:t>
            </w:r>
          </w:p>
        </w:tc>
        <w:tc>
          <w:tcPr/>
          <w:p>
            <w:pPr>
              <w:pStyle w:val="Compact"/>
            </w:pPr>
            <w:r>
              <w:t xml:space="preserve">Aproximadamente 400 (301 en Java y 98 en .NET)</w:t>
            </w:r>
          </w:p>
        </w:tc>
      </w:tr>
    </w:tbl>
    <w:p>
      <w:pPr>
        <w:pStyle w:val="BodyText"/>
      </w:pPr>
      <w:r>
        <w:rPr>
          <w:i/>
          <w:iCs/>
        </w:rPr>
        <w:t xml:space="preserve">Nota.</w:t>
      </w:r>
      <w:r>
        <w:t xml:space="preserve"> </w:t>
      </w:r>
      <w:r>
        <w:t xml:space="preserve">Elaborado por los autores. El conteo de pruebas corresponde a las anotaciones encontradas en los repositorios el 9 de octubre de 2026; las pruebas parametrizadas pueden ejecutar más casos.</w:t>
      </w:r>
    </w:p>
    <w:p>
      <w:pPr>
        <w:pStyle w:val="BodyText"/>
      </w:pPr>
      <w:r>
        <w:t xml:space="preserve">El líder de proyecto revisa los indicadores en cada retrospectiva y antes de cada implementación. Dos correctivas P1 abiertas (ACO-02 y ACO-03)</w:t>
      </w:r>
      <w:r>
        <w:t xml:space="preserve"> </w:t>
      </w:r>
      <w:r>
        <w:rPr>
          <w:b/>
          <w:bCs/>
        </w:rPr>
        <w:t xml:space="preserve">impiden cumplir el criterio de entrada E6</w:t>
      </w:r>
      <w:r>
        <w:t xml:space="preserve"> </w:t>
      </w:r>
      <w:r>
        <w:t xml:space="preserve">del Procedimiento de Implementación para un entorno con personas usuarias reales; para una implementación de evaluación académica, el líder de proyecto puede aceptarlas como riesgo documentado.</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w:t>
            </w:r>
          </w:p>
        </w:tc>
        <w:tc>
          <w:tcPr/>
          <w:p>
            <w:pPr>
              <w:pStyle w:val="Compact"/>
            </w:pPr>
            <w:r>
              <w:t xml:space="preserve">TD-014, TD-015, TD-016, TD-017, TD-018</w:t>
            </w:r>
          </w:p>
        </w:tc>
        <w:tc>
          <w:tcPr/>
          <w:p>
            <w:pPr>
              <w:pStyle w:val="Compact"/>
            </w:pPr>
            <w:r>
              <w:t xml:space="preserve">AC-04 a AC-10, ACO-05</w:t>
            </w:r>
          </w:p>
        </w:tc>
      </w:tr>
      <w:tr>
        <w:tc>
          <w:tcPr/>
          <w:p>
            <w:pPr>
              <w:pStyle w:val="Compact"/>
            </w:pPr>
            <w:r>
              <w:t xml:space="preserve">R-003 Regresiones sin red de seguridad</w:t>
            </w:r>
          </w:p>
        </w:tc>
        <w:tc>
          <w:tcPr/>
          <w:p>
            <w:pPr>
              <w:pStyle w:val="Compact"/>
            </w:pPr>
            <w:r>
              <w:t xml:space="preserve">TD-001, TD-006, TD-010</w:t>
            </w:r>
          </w:p>
        </w:tc>
        <w:tc>
          <w:tcPr/>
          <w:p>
            <w:pPr>
              <w:pStyle w:val="Compact"/>
            </w:pPr>
            <w:r>
              <w:t xml:space="preserve">ACO-01,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w:t>
            </w:r>
          </w:p>
        </w:tc>
      </w:tr>
      <w:tr>
        <w:tc>
          <w:tcPr/>
          <w:p>
            <w:pPr>
              <w:pStyle w:val="Compact"/>
            </w:pPr>
            <w:r>
              <w:t xml:space="preserve">R-007 Brechas de requisitos conocidas</w:t>
            </w:r>
          </w:p>
        </w:tc>
        <w:tc>
          <w:tcPr/>
          <w:p>
            <w:pPr>
              <w:pStyle w:val="Compact"/>
            </w:pPr>
            <w:r>
              <w:t xml:space="preserve">TD-002, TD-003, TD-009</w:t>
            </w:r>
          </w:p>
        </w:tc>
        <w:tc>
          <w:tcPr/>
          <w:p>
            <w:pPr>
              <w:pStyle w:val="Compact"/>
            </w:pPr>
            <w:r>
              <w:t xml:space="preserve">AC-16, AC-17, ACO-02, ACO-09</w:t>
            </w:r>
          </w:p>
        </w:tc>
      </w:tr>
      <w:tr>
        <w:tc>
          <w:tcPr/>
          <w:p>
            <w:pPr>
              <w:pStyle w:val="Compact"/>
            </w:pPr>
            <w:r>
              <w:t xml:space="preserve">R-008 Pérdida de datos</w:t>
            </w:r>
          </w:p>
        </w:tc>
        <w:tc>
          <w:tcPr/>
          <w:p>
            <w:pPr>
              <w:pStyle w:val="Compact"/>
            </w:pPr>
            <w:r>
              <w:t xml:space="preserve">—</w:t>
            </w:r>
          </w:p>
        </w:tc>
        <w:tc>
          <w:tcPr/>
          <w:p>
            <w:pPr>
              <w:pStyle w:val="Compact"/>
            </w:pPr>
            <w:r>
              <w:t xml:space="preserve">AP-04</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ACO-12, AP-05</w:t>
            </w:r>
          </w:p>
        </w:tc>
      </w:tr>
      <w:tr>
        <w:tc>
          <w:tcPr/>
          <w:p>
            <w:pPr>
              <w:pStyle w:val="Compact"/>
            </w:pPr>
            <w:r>
              <w:t xml:space="preserve">R-001 Integración de operations-service</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ACO-03</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2026-10-15T22:29:56Z</dcterms:created>
  <dcterms:modified xsi:type="dcterms:W3CDTF">2026-10-15T22:29:56Z</dcterms:modified>
</cp:coreProperties>
</file>

<file path=docProps/custom.xml><?xml version="1.0" encoding="utf-8"?>
<Properties xmlns="http://schemas.openxmlformats.org/officeDocument/2006/custom-properties" xmlns:vt="http://schemas.openxmlformats.org/officeDocument/2006/docPropsVTypes"/>
</file>