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16, 2026</w:t>
      </w:r>
    </w:p>
    <w:p>
      <w:pPr>
        <w:pStyle w:val="BodyText"/>
      </w:pPr>
      <w:r>
        <w:t xml:space="preserve">Manual Type: Administrator Manual (Business Administrators and IT Administrators) · Version 4.0</w:t>
      </w:r>
    </w:p>
    <w:bookmarkStart w:id="20"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a8d1573148ad9d978e2ebad6ad7576d887b59eb">
        <w:r>
          <w:rPr>
            <w:rStyle w:val="Hyperlink"/>
          </w:rPr>
          <w:t xml:space="preserve">10.3 Changing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22"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16,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saved on the server but does not yet change what each role can do.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24"/>
    <w:bookmarkStart w:id="25"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27"/>
    <w:bookmarkStart w:id="28"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28"/>
    <w:bookmarkStart w:id="29"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16,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for the permission matrix: the three fixed roles are applied by the server, and the permissions checked for each role are saved on the server (ADR-015). The matrix is informative: it does not yet change what each role can do.</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29"/>
    <w:bookmarkEnd w:id="30"/>
    <w:bookmarkStart w:id="35" w:name="Xb60ab2264f63b75b5a9c64b2711ce94fdabad47"/>
    <w:p>
      <w:pPr>
        <w:pStyle w:val="Heading2"/>
      </w:pPr>
      <w:r>
        <w:t xml:space="preserve">7. Administrator Profile</w:t>
      </w:r>
    </w:p>
    <w:bookmarkStart w:id="31"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31"/>
    <w:bookmarkStart w:id="32"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32"/>
    <w:bookmarkStart w:id="33"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and activates or deactivates them.</w:t>
            </w:r>
          </w:p>
        </w:tc>
        <w:tc>
          <w:tcPr/>
          <w:p>
            <w:pPr>
              <w:pStyle w:val="Compact"/>
            </w:pPr>
            <w:r>
              <w:t xml:space="preserve">Accounts are deactivated, not deleted; the administrator cannot deactivate their own account.</w:t>
            </w:r>
          </w:p>
        </w:tc>
      </w:tr>
      <w:tr>
        <w:tc>
          <w:tcPr/>
          <w:p>
            <w:pPr>
              <w:pStyle w:val="Compact"/>
            </w:pPr>
            <w:r>
              <w:t xml:space="preserve">Consults the roles and checks the permissions of each one.</w:t>
            </w:r>
          </w:p>
        </w:tc>
        <w:tc>
          <w:tcPr/>
          <w:p>
            <w:pPr>
              <w:pStyle w:val="Compact"/>
            </w:pPr>
            <w:r>
              <w:t xml:space="preserve">Cannot create or delete roles; the permission matrix does not yet change real access.</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33"/>
    <w:bookmarkStart w:id="34"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34"/>
    <w:bookmarkEnd w:id="35"/>
    <w:bookmarkStart w:id="46" w:name="X922375209b4f6e0ea98457472ecb94ea1e09e30"/>
    <w:p>
      <w:pPr>
        <w:pStyle w:val="Heading2"/>
      </w:pPr>
      <w:r>
        <w:t xml:space="preserve">8. Access to the Administration Panel</w:t>
      </w:r>
    </w:p>
    <w:bookmarkStart w:id="36"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36"/>
    <w:bookmarkStart w:id="40"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38" name="Picture"/>
            <a:graphic>
              <a:graphicData uri="http://schemas.openxmlformats.org/drawingml/2006/picture">
                <pic:pic>
                  <pic:nvPicPr>
                    <pic:cNvPr descr="capturas/administrator-01-administrator-login.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Confirmed bookings waiting for a technician.</w:t>
            </w:r>
          </w:p>
        </w:tc>
        <w:tc>
          <w:tcPr/>
          <w:p>
            <w:pPr>
              <w:pStyle w:val="Compact"/>
            </w:pPr>
            <w:r>
              <w:rPr>
                <w:b/>
                <w:bCs/>
              </w:rPr>
              <w:t xml:space="preserve">Assign</w:t>
            </w:r>
            <w:r>
              <w:t xml:space="preserve"> </w:t>
            </w:r>
            <w:r>
              <w:t xml:space="preserve">(section 12.4).</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174265"/>
            <wp:effectExtent b="0" l="0" r="0" t="0"/>
            <wp:docPr descr="General Control Panel" title="" id="42" name="Picture"/>
            <a:graphic>
              <a:graphicData uri="http://schemas.openxmlformats.org/drawingml/2006/picture">
                <pic:pic>
                  <pic:nvPicPr>
                    <pic:cNvPr descr="capturas/administrator-02-general-control-panel.jpg" id="43" name="Picture"/>
                    <pic:cNvPicPr>
                      <a:picLocks noChangeArrowheads="1" noChangeAspect="1"/>
                    </pic:cNvPicPr>
                  </pic:nvPicPr>
                  <pic:blipFill>
                    <a:blip r:embed="rId41"/>
                    <a:stretch>
                      <a:fillRect/>
                    </a:stretch>
                  </pic:blipFill>
                  <pic:spPr bwMode="auto">
                    <a:xfrm>
                      <a:off x="0" y="0"/>
                      <a:ext cx="5334000" cy="4174265"/>
                    </a:xfrm>
                    <a:prstGeom prst="rect">
                      <a:avLst/>
                    </a:prstGeom>
                    <a:noFill/>
                    <a:ln w="9525">
                      <a:noFill/>
                      <a:headEnd/>
                      <a:tailEnd/>
                    </a:ln>
                  </pic:spPr>
                </pic:pic>
              </a:graphicData>
            </a:graphic>
          </wp:inline>
        </w:drawing>
      </w:r>
    </w:p>
    <w:bookmarkEnd w:id="44"/>
    <w:bookmarkStart w:id="45"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To turn an existing account into an administrator (for example, one registered from the public screen), the role can be assigned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45"/>
    <w:bookmarkEnd w:id="46"/>
    <w:bookmarkStart w:id="59"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47"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47"/>
    <w:bookmarkStart w:id="51"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Last sign-in</w:t>
      </w:r>
      <w:r>
        <w:t xml:space="preserve">, and</w:t>
      </w:r>
      <w:r>
        <w:t xml:space="preserve"> </w:t>
      </w:r>
      <w:r>
        <w:rPr>
          <w:b/>
          <w:bCs/>
        </w:rPr>
        <w:t xml:space="preserve">Status</w:t>
      </w:r>
      <w:r>
        <w:t xml:space="preserve">.</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to find an account;</w:t>
      </w:r>
      <w:r>
        <w:t xml:space="preserve"> </w:t>
      </w:r>
      <w:r>
        <w:rPr>
          <w:b/>
          <w:bCs/>
        </w:rPr>
        <w:t xml:space="preserve">Clear filters</w:t>
      </w:r>
      <w:r>
        <w:t xml:space="preserve"> </w:t>
      </w:r>
      <w:r>
        <w:t xml:space="preserve">removes them.</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49" name="Picture"/>
            <a:graphic>
              <a:graphicData uri="http://schemas.openxmlformats.org/drawingml/2006/picture">
                <pic:pic>
                  <pic:nvPicPr>
                    <pic:cNvPr descr="capturas/administrator-03-user-list.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53" name="Picture"/>
            <a:graphic>
              <a:graphicData uri="http://schemas.openxmlformats.org/drawingml/2006/picture">
                <pic:pic>
                  <pic:nvPicPr>
                    <pic:cNvPr descr="capturas/administrator-04-create-user-window.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The system does not allow an administrator to deactivate their own account ("You cannot disable your own account"). Before deactivating an administrator, verify that at least one other active administrator remains.</w:t>
      </w:r>
    </w:p>
    <w:bookmarkEnd w:id="56"/>
    <w:bookmarkStart w:id="57"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57"/>
    <w:bookmarkStart w:id="58"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 token already issued cannot be revoked before it expires (one hour); it is a risk accepted in the design (ADR-006).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8149e19c3f51c4fb0e0cb8617e740b84cc2c797"/>
    <w:p>
      <w:pPr>
        <w:pStyle w:val="Heading2"/>
      </w:pPr>
      <w:r>
        <w:t xml:space="preserve">10. Role and Permission Management</w:t>
      </w:r>
    </w:p>
    <w:bookmarkStart w:id="60"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Role permissions</w:t>
      </w:r>
      <w:r>
        <w:t xml:space="preserve"> </w:t>
      </w:r>
      <w:r>
        <w:t xml:space="preserve">lets the administrator pick one of the three roles (there is no free-text name) and check or uncheck its permissions from the catalog of</w:t>
      </w:r>
      <w:r>
        <w:t xml:space="preserve"> </w:t>
      </w:r>
      <w:r>
        <w:rPr>
          <w:i/>
          <w:iCs/>
        </w:rPr>
        <w:t xml:space="preserve">security.permission</w:t>
      </w:r>
      <w:r>
        <w:t xml:space="preserve">; the changes are saved on the server in</w:t>
      </w:r>
      <w:r>
        <w:t xml:space="preserve"> </w:t>
      </w:r>
      <w:r>
        <w:rPr>
          <w:i/>
          <w:iCs/>
        </w:rPr>
        <w:t xml:space="preserve">security.role_permission</w:t>
      </w:r>
      <w:r>
        <w:t xml:space="preserve"> </w:t>
      </w:r>
      <w:r>
        <w:t xml:space="preserve">(</w:t>
      </w:r>
      <w:r>
        <w:rPr>
          <w:i/>
          <w:iCs/>
        </w:rPr>
        <w:t xml:space="preserve">GET</w:t>
      </w:r>
      <w:r>
        <w:t xml:space="preserve"> </w:t>
      </w:r>
      <w:r>
        <w:t xml:space="preserve">and</w:t>
      </w:r>
      <w:r>
        <w:t xml:space="preserve"> </w:t>
      </w:r>
      <w:r>
        <w:rPr>
          <w:i/>
          <w:iCs/>
        </w:rPr>
        <w:t xml:space="preserve">PUT /api/v1/admin/roles-permissions</w:t>
      </w:r>
      <w:r>
        <w:t xml:space="preserve">).</w:t>
      </w:r>
      <w:r>
        <w:t xml:space="preserve"> </w:t>
      </w:r>
      <w:r>
        <w:rPr>
          <w:b/>
          <w:bCs/>
        </w:rPr>
        <w:t xml:space="preserve">The matrix is informative</w:t>
      </w:r>
      <w:r>
        <w:t xml:space="preserve">: real authorization still depends on the role of the token, so checking or unchecking a permission does not grant or remove access to any screen or endpoint (ADR-015). If a permission no longer exists, the system answers "One of the selected permissions no longer exists. Reload the page and try again."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60"/>
    <w:bookmarkStart w:id="61"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only routes the requests and does not validate tokens (ADR-006). A request from one role to a resource of another returns error 403.</w:t>
      </w:r>
    </w:p>
    <w:bookmarkEnd w:id="61"/>
    <w:bookmarkStart w:id="62" w:name="Xa8d1573148ad9d978e2ebad6ad7576d887b59eb"/>
    <w:p>
      <w:pPr>
        <w:pStyle w:val="Heading3"/>
      </w:pPr>
      <w:r>
        <w:t xml:space="preserve">10.3 Changing a Person's Role</w:t>
      </w:r>
    </w:p>
    <w:p>
      <w:pPr>
        <w:pStyle w:val="FirstParagraph"/>
      </w:pPr>
      <w:r>
        <w:t xml:space="preserve">The panel does not offer an option to change the role of an existing account. When it is necessary, the IT administrator follows this procedure:</w:t>
      </w:r>
    </w:p>
    <w:p>
      <w:pPr>
        <w:pStyle w:val="Compact"/>
        <w:numPr>
          <w:ilvl w:val="0"/>
          <w:numId w:val="1028"/>
        </w:numPr>
      </w:pPr>
      <w:r>
        <w:t xml:space="preserve">Record the request: who asks for it, who approves it, the current role, the new role, and the reason.</w:t>
      </w:r>
    </w:p>
    <w:p>
      <w:pPr>
        <w:pStyle w:val="Compact"/>
        <w:numPr>
          <w:ilvl w:val="0"/>
          <w:numId w:val="1028"/>
        </w:numPr>
      </w:pPr>
      <w:r>
        <w:t xml:space="preserve">Verify the identity of the person.</w:t>
      </w:r>
    </w:p>
    <w:p>
      <w:pPr>
        <w:pStyle w:val="Compact"/>
        <w:numPr>
          <w:ilvl w:val="0"/>
          <w:numId w:val="1028"/>
        </w:numPr>
      </w:pPr>
      <w:r>
        <w:t xml:space="preserve">Modify the assignment in</w:t>
      </w:r>
      <w:r>
        <w:t xml:space="preserve"> </w:t>
      </w:r>
      <w:r>
        <w:rPr>
          <w:i/>
          <w:iCs/>
        </w:rPr>
        <w:t xml:space="preserve">security.user_role</w:t>
      </w:r>
      <w:r>
        <w:t xml:space="preserve">; remove the previous role if it must not remain.</w:t>
      </w:r>
    </w:p>
    <w:p>
      <w:pPr>
        <w:pStyle w:val="Compact"/>
        <w:numPr>
          <w:ilvl w:val="0"/>
          <w:numId w:val="1028"/>
        </w:numPr>
      </w:pPr>
      <w:r>
        <w:t xml:space="preserve">If the new role is OPERATOR, the operations service creates the operator record automatically the next time the operators are listed.</w:t>
      </w:r>
    </w:p>
    <w:p>
      <w:pPr>
        <w:pStyle w:val="Compact"/>
        <w:numPr>
          <w:ilvl w:val="0"/>
          <w:numId w:val="1028"/>
        </w:numPr>
      </w:pPr>
      <w:r>
        <w:t xml:space="preserve">Ask the person to log out and log in again, so that the new token reflects the role.</w:t>
      </w:r>
    </w:p>
    <w:p>
      <w:pPr>
        <w:pStyle w:val="Compact"/>
        <w:numPr>
          <w:ilvl w:val="0"/>
          <w:numId w:val="1028"/>
        </w:numPr>
      </w:pPr>
      <w:r>
        <w:t xml:space="preserve">File the request together with the date and the author of the change.</w:t>
      </w:r>
    </w:p>
    <w:bookmarkEnd w:id="62"/>
    <w:bookmarkEnd w:id="63"/>
    <w:bookmarkStart w:id="76" w:name="X71ecd1b085ab435e58ac67509a10673ea2e4d64"/>
    <w:p>
      <w:pPr>
        <w:pStyle w:val="Heading2"/>
      </w:pPr>
      <w:r>
        <w:t xml:space="preserve">11. System Configuration</w:t>
      </w:r>
    </w:p>
    <w:bookmarkStart w:id="64"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shows the legal name, tax ID, legal representative, address, phones, email, tax information, and official channels of the business.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to receive payments are configured separately, in</w:t>
      </w:r>
      <w:r>
        <w:t xml:space="preserve"> </w:t>
      </w:r>
      <w:r>
        <w:rPr>
          <w:b/>
          <w:bCs/>
        </w:rPr>
        <w:t xml:space="preserve">Payment methods</w:t>
      </w:r>
      <w:r>
        <w:t xml:space="preserve"> </w:t>
      </w:r>
      <w:r>
        <w:t xml:space="preserve">(section 11.4).</w:t>
      </w:r>
    </w:p>
    <w:bookmarkEnd w:id="64"/>
    <w:bookmarkStart w:id="68"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Before registering a closure, check the bookings of that day in</w:t>
      </w:r>
      <w:r>
        <w:t xml:space="preserve"> </w:t>
      </w:r>
      <w:r>
        <w:rPr>
          <w:b/>
          <w:bCs/>
        </w:rPr>
        <w:t xml:space="preserve">Bookings</w:t>
      </w:r>
      <w:r>
        <w:t xml:space="preserve"> </w:t>
      </w:r>
      <w:r>
        <w:t xml:space="preserve">(filter by date) and contact the customers to reschedule or cancel them (section 12.3).</w:t>
      </w:r>
    </w:p>
    <w:p>
      <w:pPr>
        <w:pStyle w:val="BodyText"/>
      </w:pPr>
      <w:r>
        <w:rPr>
          <w:b/>
          <w:bCs/>
        </w:rPr>
        <w:t xml:space="preserve">Figure 5</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66" name="Picture"/>
            <a:graphic>
              <a:graphicData uri="http://schemas.openxmlformats.org/drawingml/2006/picture">
                <pic:pic>
                  <pic:nvPicPr>
                    <pic:cNvPr descr="capturas/administrator-05-business-hours-and-exceptions.jpg" id="67" name="Picture"/>
                    <pic:cNvPicPr>
                      <a:picLocks noChangeArrowheads="1" noChangeAspect="1"/>
                    </pic:cNvPicPr>
                  </pic:nvPicPr>
                  <pic:blipFill>
                    <a:blip r:embed="rId65"/>
                    <a:stretch>
                      <a:fillRect/>
                    </a:stretch>
                  </pic:blipFill>
                  <pic:spPr bwMode="auto">
                    <a:xfrm>
                      <a:off x="0" y="0"/>
                      <a:ext cx="5334000" cy="4588177"/>
                    </a:xfrm>
                    <a:prstGeom prst="rect">
                      <a:avLst/>
                    </a:prstGeom>
                    <a:noFill/>
                    <a:ln w="9525">
                      <a:noFill/>
                      <a:headEnd/>
                      <a:tailEnd/>
                    </a:ln>
                  </pic:spPr>
                </pic:pic>
              </a:graphicData>
            </a:graphic>
          </wp:inline>
        </w:drawing>
      </w:r>
    </w:p>
    <w:bookmarkEnd w:id="68"/>
    <w:bookmarkStart w:id="69"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69"/>
    <w:bookmarkStart w:id="73"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of the methods that require a receipt; cash does not have a QR code.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6</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71" name="Picture"/>
            <a:graphic>
              <a:graphicData uri="http://schemas.openxmlformats.org/drawingml/2006/picture">
                <pic:pic>
                  <pic:nvPicPr>
                    <pic:cNvPr descr="capturas/administrator-06-payment-methods-configuration.jpg" id="72" name="Picture"/>
                    <pic:cNvPicPr>
                      <a:picLocks noChangeArrowheads="1" noChangeAspect="1"/>
                    </pic:cNvPicPr>
                  </pic:nvPicPr>
                  <pic:blipFill>
                    <a:blip r:embed="rId70"/>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73"/>
    <w:bookmarkStart w:id="74"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5 failed attempts</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74"/>
    <w:bookmarkStart w:id="75"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 and</w:t>
      </w:r>
      <w:r>
        <w:t xml:space="preserve"> </w:t>
      </w:r>
      <w:r>
        <w:rPr>
          <w:i/>
          <w:iCs/>
        </w:rPr>
        <w:t xml:space="preserve">INTERNAL_API_KEY</w:t>
      </w:r>
      <w:r>
        <w:t xml:space="preserve"> </w:t>
      </w:r>
      <w:r>
        <w:t xml:space="preserve">(internal calls between services). Their values and the change procedure are described in the Installation Manual.</w:t>
      </w:r>
    </w:p>
    <w:bookmarkEnd w:id="75"/>
    <w:bookmarkEnd w:id="76"/>
    <w:bookmarkStart w:id="97" w:name="X94562d209a805cc91dd44175b032fcbefb71634"/>
    <w:p>
      <w:pPr>
        <w:pStyle w:val="Heading2"/>
      </w:pPr>
      <w:r>
        <w:t xml:space="preserve">12. Management of Core Information</w:t>
      </w:r>
    </w:p>
    <w:bookmarkStart w:id="80"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7</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78" name="Picture"/>
            <a:graphic>
              <a:graphicData uri="http://schemas.openxmlformats.org/drawingml/2006/picture">
                <pic:pic>
                  <pic:nvPicPr>
                    <pic:cNvPr descr="capturas/administrator-07-operator-detail-with-availability-and-absences.jp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bookmarkEnd w:id="80"/>
    <w:bookmarkStart w:id="81"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81"/>
    <w:bookmarkStart w:id="85"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change its status (confirm, start, complete, mark as</w:t>
      </w:r>
      <w:r>
        <w:t xml:space="preserve"> </w:t>
      </w:r>
      <w:r>
        <w:rPr>
          <w:b/>
          <w:bCs/>
        </w:rPr>
        <w:t xml:space="preserve">No show</w:t>
      </w:r>
      <w:r>
        <w:t xml:space="preserve">), or cancel it by choosing a</w:t>
      </w:r>
      <w:r>
        <w:t xml:space="preserve"> </w:t>
      </w:r>
      <w:r>
        <w:rPr>
          <w:b/>
          <w:bCs/>
        </w:rPr>
        <w:t xml:space="preserve">Cancellation reason</w:t>
      </w:r>
      <w:r>
        <w:t xml:space="preserve">. Each change asks for confirmation.</w:t>
      </w:r>
    </w:p>
    <w:p>
      <w:pPr>
        <w:pStyle w:val="Compact"/>
        <w:numPr>
          <w:ilvl w:val="0"/>
          <w:numId w:val="1034"/>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w:t>
            </w:r>
          </w:p>
        </w:tc>
        <w:tc>
          <w:tcPr/>
          <w:p>
            <w:pPr>
              <w:pStyle w:val="Compact"/>
            </w:pPr>
            <w:r>
              <w:t xml:space="preserve">Record it and review patterns.</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8</w:t>
      </w:r>
    </w:p>
    <w:p>
      <w:pPr>
        <w:pStyle w:val="BodyText"/>
      </w:pPr>
      <w:r>
        <w:rPr>
          <w:i/>
          <w:iCs/>
        </w:rPr>
        <w:t xml:space="preserve">Booking Management</w:t>
      </w:r>
    </w:p>
    <w:p>
      <w:pPr>
        <w:pStyle w:val="BodyText"/>
      </w:pPr>
      <w:r>
        <w:drawing>
          <wp:inline>
            <wp:extent cx="5334000" cy="3201961"/>
            <wp:effectExtent b="0" l="0" r="0" t="0"/>
            <wp:docPr descr="Booking Management" title="" id="83" name="Picture"/>
            <a:graphic>
              <a:graphicData uri="http://schemas.openxmlformats.org/drawingml/2006/picture">
                <pic:pic>
                  <pic:nvPicPr>
                    <pic:cNvPr descr="capturas/administrator-08-booking-management.jpg" id="84" name="Picture"/>
                    <pic:cNvPicPr>
                      <a:picLocks noChangeArrowheads="1" noChangeAspect="1"/>
                    </pic:cNvPicPr>
                  </pic:nvPicPr>
                  <pic:blipFill>
                    <a:blip r:embed="rId82"/>
                    <a:stretch>
                      <a:fillRect/>
                    </a:stretch>
                  </pic:blipFill>
                  <pic:spPr bwMode="auto">
                    <a:xfrm>
                      <a:off x="0" y="0"/>
                      <a:ext cx="5334000" cy="3201961"/>
                    </a:xfrm>
                    <a:prstGeom prst="rect">
                      <a:avLst/>
                    </a:prstGeom>
                    <a:noFill/>
                    <a:ln w="9525">
                      <a:noFill/>
                      <a:headEnd/>
                      <a:tailEnd/>
                    </a:ln>
                  </pic:spPr>
                </pic:pic>
              </a:graphicData>
            </a:graphic>
          </wp:inline>
        </w:drawing>
      </w:r>
    </w:p>
    <w:bookmarkEnd w:id="85"/>
    <w:bookmarkStart w:id="89"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A rescheduled booking keeps its operator. The administrator assigns by hand in two cases: when the booking was left without an operator and when the assigned one must be changed.</w:t>
      </w:r>
    </w:p>
    <w:p>
      <w:pPr>
        <w:pStyle w:val="Compact"/>
        <w:numPr>
          <w:ilvl w:val="0"/>
          <w:numId w:val="1035"/>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5"/>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5"/>
        </w:numPr>
      </w:pPr>
      <w:r>
        <w:t xml:space="preserve">Select an available operator and, if desired, write instructions for the operator.</w:t>
      </w:r>
    </w:p>
    <w:p>
      <w:pPr>
        <w:pStyle w:val="Compact"/>
        <w:numPr>
          <w:ilvl w:val="0"/>
          <w:numId w:val="1035"/>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w:t>
      </w:r>
    </w:p>
    <w:p>
      <w:pPr>
        <w:pStyle w:val="BodyText"/>
      </w:pPr>
      <w:r>
        <w:rPr>
          <w:b/>
          <w:bCs/>
        </w:rPr>
        <w:t xml:space="preserve">Figure 9</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87" name="Picture"/>
            <a:graphic>
              <a:graphicData uri="http://schemas.openxmlformats.org/drawingml/2006/picture">
                <pic:pic>
                  <pic:nvPicPr>
                    <pic:cNvPr descr="capturas/administrator-09-manual-assignment-of-an-operator.jpg" id="88" name="Picture"/>
                    <pic:cNvPicPr>
                      <a:picLocks noChangeArrowheads="1" noChangeAspect="1"/>
                    </pic:cNvPicPr>
                  </pic:nvPicPr>
                  <pic:blipFill>
                    <a:blip r:embed="rId86"/>
                    <a:stretch>
                      <a:fillRect/>
                    </a:stretch>
                  </pic:blipFill>
                  <pic:spPr bwMode="auto">
                    <a:xfrm>
                      <a:off x="0" y="0"/>
                      <a:ext cx="5334000" cy="6229350"/>
                    </a:xfrm>
                    <a:prstGeom prst="rect">
                      <a:avLst/>
                    </a:prstGeom>
                    <a:noFill/>
                    <a:ln w="9525">
                      <a:noFill/>
                      <a:headEnd/>
                      <a:tailEnd/>
                    </a:ln>
                  </pic:spPr>
                </pic:pic>
              </a:graphicData>
            </a:graphic>
          </wp:inline>
        </w:drawing>
      </w:r>
    </w:p>
    <w:bookmarkEnd w:id="89"/>
    <w:bookmarkStart w:id="90"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36"/>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36"/>
        </w:numPr>
      </w:pPr>
      <w:r>
        <w:t xml:space="preserve">Click</w:t>
      </w:r>
      <w:r>
        <w:t xml:space="preserve"> </w:t>
      </w:r>
      <w:r>
        <w:rPr>
          <w:b/>
          <w:bCs/>
        </w:rPr>
        <w:t xml:space="preserve">Start report</w:t>
      </w:r>
      <w:r>
        <w:t xml:space="preserve"> </w:t>
      </w:r>
      <w:r>
        <w:t xml:space="preserve">when the vehicle arrives.</w:t>
      </w:r>
    </w:p>
    <w:p>
      <w:pPr>
        <w:pStyle w:val="Compact"/>
        <w:numPr>
          <w:ilvl w:val="0"/>
          <w:numId w:val="1036"/>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36"/>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36"/>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compressed in the browser before they are sent.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90"/>
    <w:bookmarkStart w:id="94"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w:t>
            </w:r>
          </w:p>
        </w:tc>
        <w:tc>
          <w:tcPr/>
          <w:p>
            <w:pPr>
              <w:pStyle w:val="Compact"/>
            </w:pPr>
            <w:r>
              <w:t xml:space="preserve">Compare the declared amount and the receipt with the amount due.</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37"/>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37"/>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37"/>
        </w:numPr>
      </w:pPr>
      <w:r>
        <w:t xml:space="preserve">Verify that the money arrived in the business's account with that amount and reference.</w:t>
      </w:r>
    </w:p>
    <w:p>
      <w:pPr>
        <w:pStyle w:val="Compact"/>
        <w:numPr>
          <w:ilvl w:val="0"/>
          <w:numId w:val="1037"/>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Click</w:t>
      </w:r>
      <w:r>
        <w:t xml:space="preserve"> </w:t>
      </w:r>
      <w:r>
        <w:rPr>
          <w:b/>
          <w:bCs/>
        </w:rPr>
        <w:t xml:space="preserve">Register manual payment</w:t>
      </w:r>
      <w:r>
        <w:t xml:space="preserve">, choose the booking and the method, and confirm.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10</w:t>
      </w:r>
    </w:p>
    <w:p>
      <w:pPr>
        <w:pStyle w:val="BodyText"/>
      </w:pPr>
      <w:r>
        <w:rPr>
          <w:i/>
          <w:iCs/>
        </w:rPr>
        <w:t xml:space="preserve">Payment Review</w:t>
      </w:r>
    </w:p>
    <w:p>
      <w:pPr>
        <w:pStyle w:val="BodyText"/>
      </w:pPr>
      <w:r>
        <w:drawing>
          <wp:inline>
            <wp:extent cx="5334000" cy="3333750"/>
            <wp:effectExtent b="0" l="0" r="0" t="0"/>
            <wp:docPr descr="Payment Review" title="" id="92" name="Picture"/>
            <a:graphic>
              <a:graphicData uri="http://schemas.openxmlformats.org/drawingml/2006/picture">
                <pic:pic>
                  <pic:nvPicPr>
                    <pic:cNvPr descr="capturas/administrator-10-payment-review.jp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94"/>
    <w:bookmarkStart w:id="95"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Every active administrator receives staff notices in the inbox and as push notifications (never by email): a new booking confirmed, a booking moved to another time, and a booking cancelled (with the reason).</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95"/>
    <w:bookmarkStart w:id="96"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38"/>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38"/>
        </w:numPr>
      </w:pPr>
      <w:r>
        <w:t xml:space="preserve">Type the</w:t>
      </w:r>
      <w:r>
        <w:t xml:space="preserve"> </w:t>
      </w:r>
      <w:r>
        <w:rPr>
          <w:b/>
          <w:bCs/>
        </w:rPr>
        <w:t xml:space="preserve">Discount on redemption (%)</w:t>
      </w:r>
      <w:r>
        <w:t xml:space="preserve">, between 1 and 100 (100 = free), which is applied to the booking total when the customer redeems the coupon.</w:t>
      </w:r>
    </w:p>
    <w:p>
      <w:pPr>
        <w:pStyle w:val="Compact"/>
        <w:numPr>
          <w:ilvl w:val="0"/>
          <w:numId w:val="1038"/>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38"/>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96"/>
    <w:bookmarkEnd w:id="97"/>
    <w:bookmarkStart w:id="102"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39"/>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39"/>
        </w:numPr>
      </w:pPr>
      <w:r>
        <w:t xml:space="preserve">Review the</w:t>
      </w:r>
      <w:r>
        <w:t xml:space="preserve"> </w:t>
      </w:r>
      <w:r>
        <w:rPr>
          <w:b/>
          <w:bCs/>
        </w:rPr>
        <w:t xml:space="preserve">Charts</w:t>
      </w:r>
      <w:r>
        <w:t xml:space="preserve"> </w:t>
      </w:r>
      <w:r>
        <w:t xml:space="preserve">of services completed and revenue for the period.</w:t>
      </w:r>
    </w:p>
    <w:p>
      <w:pPr>
        <w:pStyle w:val="Compact"/>
        <w:numPr>
          <w:ilvl w:val="0"/>
          <w:numId w:val="1039"/>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39"/>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11</w:t>
      </w:r>
    </w:p>
    <w:p>
      <w:pPr>
        <w:pStyle w:val="BodyText"/>
      </w:pPr>
      <w:r>
        <w:rPr>
          <w:i/>
          <w:iCs/>
        </w:rPr>
        <w:t xml:space="preserve">Administrative Reports</w:t>
      </w:r>
    </w:p>
    <w:p>
      <w:pPr>
        <w:pStyle w:val="BodyText"/>
      </w:pPr>
      <w:r>
        <w:drawing>
          <wp:inline>
            <wp:extent cx="5334000" cy="4123502"/>
            <wp:effectExtent b="0" l="0" r="0" t="0"/>
            <wp:docPr descr="Administrative Reports" title="" id="99" name="Picture"/>
            <a:graphic>
              <a:graphicData uri="http://schemas.openxmlformats.org/drawingml/2006/picture">
                <pic:pic>
                  <pic:nvPicPr>
                    <pic:cNvPr descr="capturas/administrator-11-administrative-reports.jpg" id="100" name="Picture"/>
                    <pic:cNvPicPr>
                      <a:picLocks noChangeArrowheads="1" noChangeAspect="1"/>
                    </pic:cNvPicPr>
                  </pic:nvPicPr>
                  <pic:blipFill>
                    <a:blip r:embed="rId98"/>
                    <a:stretch>
                      <a:fillRect/>
                    </a:stretch>
                  </pic:blipFill>
                  <pic:spPr bwMode="auto">
                    <a:xfrm>
                      <a:off x="0" y="0"/>
                      <a:ext cx="5334000" cy="4123502"/>
                    </a:xfrm>
                    <a:prstGeom prst="rect">
                      <a:avLst/>
                    </a:prstGeom>
                    <a:noFill/>
                    <a:ln w="9525">
                      <a:noFill/>
                      <a:headEnd/>
                      <a:tailEnd/>
                    </a:ln>
                  </pic:spPr>
                </pic:pic>
              </a:graphicData>
            </a:graphic>
          </wp:inline>
        </w:drawing>
      </w:r>
    </w:p>
    <w:bookmarkStart w:id="101"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101"/>
    <w:bookmarkEnd w:id="102"/>
    <w:bookmarkStart w:id="111"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This section proposes a procedure based on contingency planning practices (Swanson et al., 2010) and on the SQL Server documentation (Microsoft, n.d.). The values marked as recommendations must be approved by the team (Annex B).</w:t>
      </w:r>
    </w:p>
    <w:bookmarkStart w:id="103"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Browser-only data</w:t>
            </w:r>
          </w:p>
        </w:tc>
        <w:tc>
          <w:tcPr/>
          <w:p>
            <w:pPr>
              <w:pStyle w:val="Compact"/>
            </w:pPr>
            <w:r>
              <w:t xml:space="preserve">Business data and inspection reports.</w:t>
            </w:r>
          </w:p>
        </w:tc>
        <w:tc>
          <w:tcPr/>
          <w:p>
            <w:pPr>
              <w:pStyle w:val="Compact"/>
            </w:pPr>
            <w:r>
              <w:t xml:space="preserve">They are not on the server: they cannot be backed up by the IT administrator (section 6.3).</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103"/>
    <w:bookmarkStart w:id="104"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104"/>
    <w:bookmarkStart w:id="108" w:name="X18285526682b84dffe6747d5d70931960a16112"/>
    <w:p>
      <w:pPr>
        <w:pStyle w:val="Heading3"/>
      </w:pPr>
      <w:r>
        <w:t xml:space="preserve">14.3 Generating a Manual Backup</w:t>
      </w:r>
    </w:p>
    <w:p>
      <w:pPr>
        <w:pStyle w:val="FirstParagraph"/>
      </w:pPr>
      <w:r>
        <w:t xml:space="preserve">The backup is generated inside the SQL Server container (Compose service</w:t>
      </w:r>
      <w:r>
        <w:t xml:space="preserve"> </w:t>
      </w:r>
      <w:r>
        <w:rPr>
          <w:i/>
          <w:iCs/>
        </w:rPr>
        <w:t xml:space="preserve">sqlserver</w:t>
      </w:r>
      <w:r>
        <w:t xml:space="preserve">, container</w:t>
      </w:r>
      <w:r>
        <w:t xml:space="preserve"> </w:t>
      </w:r>
      <w:r>
        <w:rPr>
          <w:i/>
          <w:iCs/>
        </w:rPr>
        <w:t xml:space="preserve">lavarapido-sqlserver</w:t>
      </w:r>
      <w:r>
        <w:t xml:space="preserve">) and then copied to the host. The password of the</w:t>
      </w:r>
      <w:r>
        <w:t xml:space="preserve"> </w:t>
      </w:r>
      <w:r>
        <w:rPr>
          <w:i/>
          <w:iCs/>
        </w:rPr>
        <w:t xml:space="preserve">sa</w:t>
      </w:r>
      <w:r>
        <w:t xml:space="preserve"> </w:t>
      </w:r>
      <w:r>
        <w:t xml:space="preserve">account is the value of</w:t>
      </w:r>
      <w:r>
        <w:t xml:space="preserve"> </w:t>
      </w:r>
      <w:r>
        <w:rPr>
          <w:i/>
          <w:iCs/>
        </w:rPr>
        <w:t xml:space="preserve">DB_PASSWORD</w:t>
      </w:r>
      <w:r>
        <w:t xml:space="preserve"> </w:t>
      </w:r>
      <w:r>
        <w:t xml:space="preserve">in the</w:t>
      </w:r>
      <w:r>
        <w:t xml:space="preserve"> </w:t>
      </w:r>
      <w:r>
        <w:rPr>
          <w:i/>
          <w:iCs/>
        </w:rPr>
        <w:t xml:space="preserve">.env</w:t>
      </w:r>
      <w:r>
        <w:t xml:space="preserve"> </w:t>
      </w:r>
      <w:r>
        <w:t xml:space="preserve">file; it must be read from an environment variable and not typed in shared scripts.</w:t>
      </w:r>
    </w:p>
    <w:p>
      <w:pPr>
        <w:pStyle w:val="Compact"/>
        <w:numPr>
          <w:ilvl w:val="0"/>
          <w:numId w:val="1040"/>
        </w:numPr>
      </w:pPr>
      <w:r>
        <w:t xml:space="preserve">Verify that there is free disk space (a backup occupies, as an order of magnitude, the size of the data).</w:t>
      </w:r>
    </w:p>
    <w:p>
      <w:pPr>
        <w:pStyle w:val="Compact"/>
        <w:numPr>
          <w:ilvl w:val="0"/>
          <w:numId w:val="1040"/>
        </w:numPr>
      </w:pPr>
      <w:r>
        <w:t xml:space="preserve">Generate the backup with a checksum.</w:t>
      </w:r>
    </w:p>
    <w:p>
      <w:pPr>
        <w:pStyle w:val="Compact"/>
        <w:numPr>
          <w:ilvl w:val="0"/>
          <w:numId w:val="1040"/>
        </w:numPr>
      </w:pPr>
      <w:r>
        <w:t xml:space="preserve">Check that the file is restorable.</w:t>
      </w:r>
    </w:p>
    <w:p>
      <w:pPr>
        <w:pStyle w:val="Compact"/>
        <w:numPr>
          <w:ilvl w:val="0"/>
          <w:numId w:val="1040"/>
        </w:numPr>
      </w:pPr>
      <w:r>
        <w:t xml:space="preserve">Copy it to the host and then to secure storage.</w:t>
      </w:r>
    </w:p>
    <w:p>
      <w:pPr>
        <w:pStyle w:val="Compact"/>
        <w:numPr>
          <w:ilvl w:val="0"/>
          <w:numId w:val="1040"/>
        </w:numPr>
      </w:pPr>
      <w:r>
        <w:t xml:space="preserve">Record the backup (date, file, size, verification result, and person responsible).</w:t>
      </w:r>
    </w:p>
    <w:p>
      <w:pPr>
        <w:pStyle w:val="SourceCode"/>
      </w:pPr>
      <w:r>
        <w:rPr>
          <w:rStyle w:val="BuiltInTok"/>
        </w:rPr>
        <w:t xml:space="preserve">cd</w:t>
      </w:r>
      <w:r>
        <w:rPr>
          <w:rStyle w:val="NormalTok"/>
        </w:rPr>
        <w:t xml:space="preserve"> lavarapido-infra</w:t>
      </w:r>
      <w:r>
        <w:br/>
      </w:r>
      <w:r>
        <w:rPr>
          <w:rStyle w:val="CommentTok"/>
        </w:rPr>
        <w:t xml:space="preserve"># 1) Full backup inside the container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N'/var/opt/mssql/data/backup_LavaRapido_2026-10-07_0200.bak' WITH INIT, CHECKSUM, COMPRESSION"</w:t>
      </w:r>
      <w:r>
        <w:br/>
      </w:r>
      <w:r>
        <w:br/>
      </w:r>
      <w:r>
        <w:rPr>
          <w:rStyle w:val="CommentTok"/>
        </w:rPr>
        <w:t xml:space="preserve"># 2) Verify that the file is restorable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N'/var/opt/mssql/data/backup_LavaRapido_2026-10-07_0200.bak' WITH CHECKSUM"</w:t>
      </w:r>
      <w:r>
        <w:br/>
      </w:r>
      <w:r>
        <w:br/>
      </w:r>
      <w:r>
        <w:rPr>
          <w:rStyle w:val="CommentTok"/>
        </w:rPr>
        <w:t xml:space="preserve"># 3) Copy to the host</w:t>
      </w:r>
      <w:r>
        <w:br/>
      </w:r>
      <w:r>
        <w:rPr>
          <w:rStyle w:val="ExtensionTok"/>
        </w:rPr>
        <w:t xml:space="preserve">docker</w:t>
      </w:r>
      <w:r>
        <w:rPr>
          <w:rStyle w:val="NormalTok"/>
        </w:rPr>
        <w:t xml:space="preserve"> cp lavarapido-sqlserver:/var/opt/mssql/data/backup_LavaRapido_2026-10-07_0200.bak ./backups/</w:t>
      </w:r>
    </w:p>
    <w:p>
      <w:pPr>
        <w:pStyle w:val="FirstParagraph"/>
      </w:pPr>
      <w:r>
        <w:t xml:space="preserve">The</w:t>
      </w:r>
      <w:r>
        <w:t xml:space="preserve"> </w:t>
      </w:r>
      <w:r>
        <w:rPr>
          <w:i/>
          <w:iCs/>
        </w:rPr>
        <w:t xml:space="preserve">CHECKSUM</w:t>
      </w:r>
      <w:r>
        <w:t xml:space="preserve"> </w:t>
      </w:r>
      <w:r>
        <w:t xml:space="preserve">option detects damaged pages when backing up and when verifying.</w:t>
      </w:r>
    </w:p>
    <w:p>
      <w:pPr>
        <w:pStyle w:val="BodyText"/>
      </w:pPr>
      <w:r>
        <w:rPr>
          <w:b/>
          <w:bCs/>
        </w:rPr>
        <w:t xml:space="preserve">Figure 12</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106" name="Picture"/>
            <a:graphic>
              <a:graphicData uri="http://schemas.openxmlformats.org/drawingml/2006/picture">
                <pic:pic>
                  <pic:nvPicPr>
                    <pic:cNvPr descr="capturas/administrator-12-backup-generated-and-verified.png" id="107" name="Picture"/>
                    <pic:cNvPicPr>
                      <a:picLocks noChangeArrowheads="1" noChangeAspect="1"/>
                    </pic:cNvPicPr>
                  </pic:nvPicPr>
                  <pic:blipFill>
                    <a:blip r:embed="rId105"/>
                    <a:stretch>
                      <a:fillRect/>
                    </a:stretch>
                  </pic:blipFill>
                  <pic:spPr bwMode="auto">
                    <a:xfrm>
                      <a:off x="0" y="0"/>
                      <a:ext cx="5334000" cy="1226315"/>
                    </a:xfrm>
                    <a:prstGeom prst="rect">
                      <a:avLst/>
                    </a:prstGeom>
                    <a:noFill/>
                    <a:ln w="9525">
                      <a:noFill/>
                      <a:headEnd/>
                      <a:tailEnd/>
                    </a:ln>
                  </pic:spPr>
                </pic:pic>
              </a:graphicData>
            </a:graphic>
          </wp:inline>
        </w:drawing>
      </w:r>
    </w:p>
    <w:bookmarkEnd w:id="108"/>
    <w:bookmarkStart w:id="109" w:name="X2eb903cae0fdcde77f1f8e13d500e14285d7dd4"/>
    <w:p>
      <w:pPr>
        <w:pStyle w:val="Heading3"/>
      </w:pPr>
      <w:r>
        <w:t xml:space="preserve">14.4 Automating the Daily Backup</w:t>
      </w:r>
    </w:p>
    <w:p>
      <w:pPr>
        <w:pStyle w:val="FirstParagraph"/>
      </w:pPr>
      <w:r>
        <w:t xml:space="preserve">A backup that depends on someone remembering it ends up not being made. On Linux it is scheduled with</w:t>
      </w:r>
      <w:r>
        <w:t xml:space="preserve"> </w:t>
      </w:r>
      <w:r>
        <w:rPr>
          <w:i/>
          <w:iCs/>
        </w:rPr>
        <w:t xml:space="preserve">cron</w:t>
      </w:r>
      <w:r>
        <w:t xml:space="preserve">; on Windows, with the Task Scheduler. The following sample script generates the backup, verifies it, copies it, and deletes the files that exceed the retention: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(every day at 2:00 a.m.; DB_PASSWORD comes from the environment of the user)</w:t>
      </w:r>
      <w:r>
        <w:br/>
      </w:r>
      <w:r>
        <w:rPr>
          <w:rStyle w:val="CommentTok"/>
        </w:rPr>
        <w:t xml:space="preserve"># 0 2 * * * /home/&lt;USER&gt;/bin/backup.sh &gt;&gt; /home/&lt;USER&gt;/backups/cron.log 2&gt;&amp;1</w:t>
      </w:r>
    </w:p>
    <w:p>
      <w:pPr>
        <w:pStyle w:val="FirstParagraph"/>
      </w:pPr>
      <w:r>
        <w:t xml:space="preserve">The script must be stored with restricted permissions and its result must be monitored: an alert when the file of the day does not exist is worth more than many backups that nobody checks.</w:t>
      </w:r>
    </w:p>
    <w:bookmarkEnd w:id="109"/>
    <w:bookmarkStart w:id="110" w:name="Xda81e387c877b4d53122b31921b9eb41be208ee"/>
    <w:p>
      <w:pPr>
        <w:pStyle w:val="Heading3"/>
      </w:pPr>
      <w:r>
        <w:t xml:space="preserve">14.5 Backup Before Changes</w:t>
      </w:r>
    </w:p>
    <w:p>
      <w:pPr>
        <w:pStyle w:val="Compact"/>
        <w:numPr>
          <w:ilvl w:val="0"/>
          <w:numId w:val="1041"/>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1"/>
        </w:numPr>
      </w:pPr>
      <w:r>
        <w:t xml:space="preserve">Before bulk changes of roles, prices, or assignments, make a backup.</w:t>
      </w:r>
    </w:p>
    <w:p>
      <w:pPr>
        <w:pStyle w:val="Compact"/>
        <w:numPr>
          <w:ilvl w:val="0"/>
          <w:numId w:val="1041"/>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10"/>
    <w:bookmarkEnd w:id="111"/>
    <w:bookmarkStart w:id="119"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12"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12"/>
    <w:bookmarkStart w:id="113" w:name="Xce004971e6f2d7e3aa603b677d27fbf4986b15d"/>
    <w:p>
      <w:pPr>
        <w:pStyle w:val="Heading3"/>
      </w:pPr>
      <w:r>
        <w:t xml:space="preserve">15.2 Full Restoration Procedure</w:t>
      </w:r>
    </w:p>
    <w:p>
      <w:pPr>
        <w:pStyle w:val="Compact"/>
        <w:numPr>
          <w:ilvl w:val="0"/>
          <w:numId w:val="1042"/>
        </w:numPr>
      </w:pPr>
      <w:r>
        <w:t xml:space="preserve">Obtain authorization and announce the interruption to the users.</w:t>
      </w:r>
    </w:p>
    <w:p>
      <w:pPr>
        <w:pStyle w:val="Compact"/>
        <w:numPr>
          <w:ilvl w:val="0"/>
          <w:numId w:val="1042"/>
        </w:numPr>
      </w:pPr>
      <w:r>
        <w:t xml:space="preserve">Choose the backup and check its integrity with RESTORE VERIFYONLY.</w:t>
      </w:r>
    </w:p>
    <w:p>
      <w:pPr>
        <w:pStyle w:val="Compact"/>
        <w:numPr>
          <w:ilvl w:val="0"/>
          <w:numId w:val="1042"/>
        </w:numPr>
      </w:pPr>
      <w:r>
        <w:t xml:space="preserve">Stop the application services and the gateway so that they do not write during the restoration; leave SQL Server running.</w:t>
      </w:r>
    </w:p>
    <w:p>
      <w:pPr>
        <w:pStyle w:val="Compact"/>
        <w:numPr>
          <w:ilvl w:val="0"/>
          <w:numId w:val="1042"/>
        </w:numPr>
      </w:pPr>
      <w:r>
        <w:t xml:space="preserve">Make a backup of the current state, even if it is damaged, so as not to lose the evidence.</w:t>
      </w:r>
    </w:p>
    <w:p>
      <w:pPr>
        <w:pStyle w:val="Compact"/>
        <w:numPr>
          <w:ilvl w:val="0"/>
          <w:numId w:val="1042"/>
        </w:numPr>
      </w:pPr>
      <w:r>
        <w:t xml:space="preserve">Copy the backup file into the container and restore it.</w:t>
      </w:r>
    </w:p>
    <w:p>
      <w:pPr>
        <w:pStyle w:val="Compact"/>
        <w:numPr>
          <w:ilvl w:val="0"/>
          <w:numId w:val="1042"/>
        </w:numPr>
      </w:pPr>
      <w:r>
        <w:t xml:space="preserve">Verify the structure and the data (section 15.3).</w:t>
      </w:r>
    </w:p>
    <w:p>
      <w:pPr>
        <w:pStyle w:val="Compact"/>
        <w:numPr>
          <w:ilvl w:val="0"/>
          <w:numId w:val="1042"/>
        </w:numPr>
      </w:pPr>
      <w:r>
        <w:t xml:space="preserve">Start the services and run the verification tests of the Installation Manual.</w:t>
      </w:r>
    </w:p>
    <w:p>
      <w:pPr>
        <w:pStyle w:val="Compact"/>
        <w:numPr>
          <w:ilvl w:val="0"/>
          <w:numId w:val="1042"/>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13"/>
    <w:bookmarkStart w:id="114" w:name="Xf4cd22f4b64de9ac2d122220c9b382312bd8977"/>
    <w:p>
      <w:pPr>
        <w:pStyle w:val="Heading3"/>
      </w:pPr>
      <w:r>
        <w:t xml:space="preserve">15.3 Post-Restoration Verification</w:t>
      </w:r>
    </w:p>
    <w:p>
      <w:pPr>
        <w:pStyle w:val="Compact"/>
        <w:numPr>
          <w:ilvl w:val="0"/>
          <w:numId w:val="1043"/>
        </w:numPr>
      </w:pPr>
      <w:r>
        <w:t xml:space="preserve">The nine schemas exist and the catalog tables have their rows (queries of the Installation Manual, section 11).</w:t>
      </w:r>
    </w:p>
    <w:p>
      <w:pPr>
        <w:pStyle w:val="Compact"/>
        <w:numPr>
          <w:ilvl w:val="0"/>
          <w:numId w:val="1043"/>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3"/>
        </w:numPr>
      </w:pPr>
      <w:r>
        <w:t xml:space="preserve">The last booking and the last session correspond to the expected date of the backup.</w:t>
      </w:r>
    </w:p>
    <w:p>
      <w:pPr>
        <w:pStyle w:val="Compact"/>
        <w:numPr>
          <w:ilvl w:val="0"/>
          <w:numId w:val="1043"/>
        </w:numPr>
      </w:pPr>
      <w:r>
        <w:t xml:space="preserve">An administrator can log in, and a test customer can consult the bookings.</w:t>
      </w:r>
    </w:p>
    <w:p>
      <w:pPr>
        <w:pStyle w:val="Compact"/>
        <w:numPr>
          <w:ilvl w:val="0"/>
          <w:numId w:val="1043"/>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14"/>
    <w:bookmarkStart w:id="118"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Figure 13</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16" name="Picture"/>
            <a:graphic>
              <a:graphicData uri="http://schemas.openxmlformats.org/drawingml/2006/picture">
                <pic:pic>
                  <pic:nvPicPr>
                    <pic:cNvPr descr="capturas/administrator-13-post-restoration-verification.png" id="117" name="Picture"/>
                    <pic:cNvPicPr>
                      <a:picLocks noChangeArrowheads="1" noChangeAspect="1"/>
                    </pic:cNvPicPr>
                  </pic:nvPicPr>
                  <pic:blipFill>
                    <a:blip r:embed="rId115"/>
                    <a:stretch>
                      <a:fillRect/>
                    </a:stretch>
                  </pic:blipFill>
                  <pic:spPr bwMode="auto">
                    <a:xfrm>
                      <a:off x="0" y="0"/>
                      <a:ext cx="5334000" cy="3915734"/>
                    </a:xfrm>
                    <a:prstGeom prst="rect">
                      <a:avLst/>
                    </a:prstGeom>
                    <a:noFill/>
                    <a:ln w="9525">
                      <a:noFill/>
                      <a:headEnd/>
                      <a:tailEnd/>
                    </a:ln>
                  </pic:spPr>
                </pic:pic>
              </a:graphicData>
            </a:graphic>
          </wp:inline>
        </w:drawing>
      </w:r>
    </w:p>
    <w:bookmarkEnd w:id="118"/>
    <w:bookmarkEnd w:id="119"/>
    <w:bookmarkStart w:id="126" w:name="Xcc34154a85e55710fba9ea38c384f8441be9912"/>
    <w:p>
      <w:pPr>
        <w:pStyle w:val="Heading2"/>
      </w:pPr>
      <w:r>
        <w:t xml:space="preserve">16. Auditing and Action History</w:t>
      </w:r>
    </w:p>
    <w:bookmarkStart w:id="120"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20"/>
    <w:bookmarkStart w:id="121"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1"/>
    <w:bookmarkStart w:id="125" w:name="X4a8b13398bc24f01ef10cac7002c8d0b8139008"/>
    <w:p>
      <w:pPr>
        <w:pStyle w:val="Heading3"/>
      </w:pPr>
      <w:r>
        <w:t xml:space="preserve">16.3 Periodic Review and Retention</w:t>
      </w:r>
    </w:p>
    <w:p>
      <w:pPr>
        <w:pStyle w:val="Compact"/>
        <w:numPr>
          <w:ilvl w:val="0"/>
          <w:numId w:val="1044"/>
        </w:numPr>
      </w:pPr>
      <w:r>
        <w:t xml:space="preserve">Review weekly the new administrator accounts, the deactivated accounts, the payment accounts, and the approved payments.</w:t>
      </w:r>
    </w:p>
    <w:p>
      <w:pPr>
        <w:pStyle w:val="Compact"/>
        <w:numPr>
          <w:ilvl w:val="0"/>
          <w:numId w:val="1044"/>
        </w:numPr>
      </w:pPr>
      <w:r>
        <w:t xml:space="preserve">Investigate immediately any new account with the ADMIN role or any change of QR codes or payment accounts.</w:t>
      </w:r>
    </w:p>
    <w:p>
      <w:pPr>
        <w:pStyle w:val="Compact"/>
        <w:numPr>
          <w:ilvl w:val="0"/>
          <w:numId w:val="1044"/>
        </w:numPr>
      </w:pPr>
      <w:r>
        <w:t xml:space="preserve">The documentation does not define a retention policy. Recommendation: keep the session records for at least 12 months and archive the older ones in the monthly backups.</w:t>
      </w:r>
    </w:p>
    <w:p>
      <w:pPr>
        <w:pStyle w:val="Compact"/>
        <w:numPr>
          <w:ilvl w:val="0"/>
          <w:numId w:val="1044"/>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14</w:t>
      </w:r>
    </w:p>
    <w:p>
      <w:pPr>
        <w:pStyle w:val="BodyText"/>
      </w:pPr>
      <w:r>
        <w:rPr>
          <w:i/>
          <w:iCs/>
        </w:rPr>
        <w:t xml:space="preserve">Session History Query</w:t>
      </w:r>
    </w:p>
    <w:p>
      <w:pPr>
        <w:pStyle w:val="BodyText"/>
      </w:pPr>
      <w:r>
        <w:drawing>
          <wp:inline>
            <wp:extent cx="5334000" cy="1972339"/>
            <wp:effectExtent b="0" l="0" r="0" t="0"/>
            <wp:docPr descr="Session History Query" title="" id="123" name="Picture"/>
            <a:graphic>
              <a:graphicData uri="http://schemas.openxmlformats.org/drawingml/2006/picture">
                <pic:pic>
                  <pic:nvPicPr>
                    <pic:cNvPr descr="capturas/administrator-14-session-history-query.png" id="124" name="Picture"/>
                    <pic:cNvPicPr>
                      <a:picLocks noChangeArrowheads="1" noChangeAspect="1"/>
                    </pic:cNvPicPr>
                  </pic:nvPicPr>
                  <pic:blipFill>
                    <a:blip r:embed="rId122"/>
                    <a:stretch>
                      <a:fillRect/>
                    </a:stretch>
                  </pic:blipFill>
                  <pic:spPr bwMode="auto">
                    <a:xfrm>
                      <a:off x="0" y="0"/>
                      <a:ext cx="5334000" cy="1972339"/>
                    </a:xfrm>
                    <a:prstGeom prst="rect">
                      <a:avLst/>
                    </a:prstGeom>
                    <a:noFill/>
                    <a:ln w="9525">
                      <a:noFill/>
                      <a:headEnd/>
                      <a:tailEnd/>
                    </a:ln>
                  </pic:spPr>
                </pic:pic>
              </a:graphicData>
            </a:graphic>
          </wp:inline>
        </w:drawing>
      </w:r>
    </w:p>
    <w:bookmarkEnd w:id="125"/>
    <w:bookmarkEnd w:id="126"/>
    <w:bookmarkStart w:id="135"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27" w:name="X574e94dcb8260d5c3352556c3b9c8767fcb74c3"/>
    <w:p>
      <w:pPr>
        <w:pStyle w:val="Heading3"/>
      </w:pPr>
      <w:r>
        <w:t xml:space="preserve">17.1 Accounts and Passwords</w:t>
      </w:r>
    </w:p>
    <w:p>
      <w:pPr>
        <w:pStyle w:val="Compact"/>
        <w:numPr>
          <w:ilvl w:val="0"/>
          <w:numId w:val="1045"/>
        </w:numPr>
      </w:pPr>
      <w:r>
        <w:t xml:space="preserve">Do not share the administrator password and use individual accounts.</w:t>
      </w:r>
    </w:p>
    <w:p>
      <w:pPr>
        <w:pStyle w:val="Compact"/>
        <w:numPr>
          <w:ilvl w:val="0"/>
          <w:numId w:val="1045"/>
        </w:numPr>
      </w:pPr>
      <w:r>
        <w:t xml:space="preserve">Use long and unique passwords stored in a password manager. The temporary lockout slows down repeated attempts, but it does not replace a strong password.</w:t>
      </w:r>
    </w:p>
    <w:p>
      <w:pPr>
        <w:pStyle w:val="Compact"/>
        <w:numPr>
          <w:ilvl w:val="0"/>
          <w:numId w:val="1045"/>
        </w:numPr>
      </w:pPr>
      <w:r>
        <w:t xml:space="preserve">Change any temporary password immediately.</w:t>
      </w:r>
    </w:p>
    <w:p>
      <w:pPr>
        <w:pStyle w:val="Compact"/>
        <w:numPr>
          <w:ilvl w:val="0"/>
          <w:numId w:val="1045"/>
        </w:numPr>
      </w:pPr>
      <w:r>
        <w:t xml:space="preserve">Deactivate the accounts of people who leave the process on the same day.</w:t>
      </w:r>
    </w:p>
    <w:p>
      <w:pPr>
        <w:pStyle w:val="Compact"/>
        <w:numPr>
          <w:ilvl w:val="0"/>
          <w:numId w:val="1045"/>
        </w:numPr>
      </w:pPr>
      <w:r>
        <w:t xml:space="preserve">Review the list of administrators quarterly: it must be as short as possible.</w:t>
      </w:r>
    </w:p>
    <w:p>
      <w:pPr>
        <w:pStyle w:val="Compact"/>
        <w:numPr>
          <w:ilvl w:val="0"/>
          <w:numId w:val="1045"/>
        </w:numPr>
      </w:pPr>
      <w:r>
        <w:t xml:space="preserve">Log out when finished and do not log in from shared machines.</w:t>
      </w:r>
    </w:p>
    <w:bookmarkEnd w:id="127"/>
    <w:bookmarkStart w:id="128"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28"/>
    <w:bookmarkStart w:id="129" w:name="Xa3fa6dfdd7cfc923a5683c6f03db157a0265f11"/>
    <w:p>
      <w:pPr>
        <w:pStyle w:val="Heading3"/>
      </w:pPr>
      <w:r>
        <w:t xml:space="preserve">17.3 Secrets and Configuration</w:t>
      </w:r>
    </w:p>
    <w:p>
      <w:pPr>
        <w:pStyle w:val="Compact"/>
        <w:numPr>
          <w:ilvl w:val="0"/>
          <w:numId w:val="1046"/>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46"/>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46"/>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46"/>
        </w:numPr>
      </w:pPr>
      <w:r>
        <w:t xml:space="preserve">The demonstration accounts of the</w:t>
      </w:r>
      <w:r>
        <w:t xml:space="preserve"> </w:t>
      </w:r>
      <w:r>
        <w:rPr>
          <w:i/>
          <w:iCs/>
        </w:rPr>
        <w:t xml:space="preserve">dev</w:t>
      </w:r>
      <w:r>
        <w:t xml:space="preserve"> </w:t>
      </w:r>
      <w:r>
        <w:t xml:space="preserve">profile must never reach a shared deployment.</w:t>
      </w:r>
    </w:p>
    <w:bookmarkEnd w:id="129"/>
    <w:bookmarkStart w:id="130" w:name="X4a0870b90fa6c4a0be6d0ee5b667e629e73ded0"/>
    <w:p>
      <w:pPr>
        <w:pStyle w:val="Heading3"/>
      </w:pPr>
      <w:r>
        <w:t xml:space="preserve">17.4 Network and Exposure</w:t>
      </w:r>
    </w:p>
    <w:p>
      <w:pPr>
        <w:pStyle w:val="Compact"/>
        <w:numPr>
          <w:ilvl w:val="0"/>
          <w:numId w:val="1047"/>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47"/>
        </w:numPr>
      </w:pPr>
      <w:r>
        <w:t xml:space="preserve">Outside the local environment, use HTTPS with TLS 1.2 or higher.</w:t>
      </w:r>
    </w:p>
    <w:p>
      <w:pPr>
        <w:pStyle w:val="Compact"/>
        <w:numPr>
          <w:ilvl w:val="0"/>
          <w:numId w:val="1047"/>
        </w:numPr>
      </w:pPr>
      <w:r>
        <w:t xml:space="preserve">The gateway does not apply a request rate limit. Account lockout stops someone trying to guess passwords, but on a server exposed to the internet a rate limit should also be added in the proxy (Caddy) or in the gateway.</w:t>
      </w:r>
    </w:p>
    <w:bookmarkEnd w:id="130"/>
    <w:bookmarkStart w:id="131"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A token is not revoked before it expires (1 hour).</w:t>
            </w:r>
          </w:p>
        </w:tc>
        <w:tc>
          <w:tcPr/>
          <w:p>
            <w:pPr>
              <w:pStyle w:val="Compact"/>
            </w:pPr>
            <w:r>
              <w:t xml:space="preserve">Deactivate the account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No request rate limit in the gateway.</w:t>
            </w:r>
          </w:p>
        </w:tc>
        <w:tc>
          <w:tcPr/>
          <w:p>
            <w:pPr>
              <w:pStyle w:val="Compact"/>
            </w:pPr>
            <w:r>
              <w:t xml:space="preserve">Strong passwords; watch the Caddy and gateway logs for bursts of requests.</w:t>
            </w:r>
          </w:p>
        </w:tc>
      </w:tr>
      <w:tr>
        <w:tc>
          <w:tcPr/>
          <w:p>
            <w:pPr>
              <w:pStyle w:val="Compact"/>
            </w:pPr>
            <w:r>
              <w:t xml:space="preserve">Role permissions are editable but not enforced (ADR-015).</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w:t>
            </w:r>
          </w:p>
        </w:tc>
        <w:tc>
          <w:tcPr/>
          <w:p>
            <w:pPr>
              <w:pStyle w:val="Compact"/>
            </w:pPr>
            <w:r>
              <w:t xml:space="preserve">Review missing notifications and the dead-letter queues.</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31"/>
    <w:bookmarkStart w:id="132"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2"/>
    <w:bookmarkStart w:id="133"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33"/>
    <w:bookmarkStart w:id="134"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34"/>
    <w:bookmarkEnd w:id="135"/>
    <w:bookmarkStart w:id="136"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bl>
    <w:p>
      <w:pPr>
        <w:pStyle w:val="BodyText"/>
      </w:pPr>
      <w:r>
        <w:rPr>
          <w:i/>
          <w:iCs/>
        </w:rPr>
        <w:t xml:space="preserve">Note.</w:t>
      </w:r>
      <w:r>
        <w:t xml:space="preserve"> </w:t>
      </w:r>
      <w:r>
        <w:t xml:space="preserve">Prepared by the authors from the project documentation.</w:t>
      </w:r>
    </w:p>
    <w:bookmarkEnd w:id="136"/>
    <w:bookmarkStart w:id="147"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37">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8">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9">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40">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1">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2">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3">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4">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45">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46">
        <w:r>
          <w:rPr>
            <w:rStyle w:val="Hyperlink"/>
          </w:rPr>
          <w:t xml:space="preserve">https://github.com/BrayanCABRERA123/lavarapido-security-service</w:t>
        </w:r>
      </w:hyperlink>
    </w:p>
    <w:bookmarkEnd w:id="147"/>
    <w:bookmarkStart w:id="152" w:name="X3ebececf266e1d58a5da7182dd2ea53c277ac9c"/>
    <w:p>
      <w:pPr>
        <w:pStyle w:val="Heading2"/>
      </w:pPr>
      <w:r>
        <w:t xml:space="preserve">19. Annexes</w:t>
      </w:r>
    </w:p>
    <w:bookmarkStart w:id="148"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48"/>
    <w:bookmarkStart w:id="149"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Saved on the server but not enforced (ADR-015).</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Not defined; the proposed values must be approved.</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Neither the gateway nor Caddy limits the requests per client.</w:t>
            </w:r>
          </w:p>
        </w:tc>
        <w:tc>
          <w:tcPr/>
          <w:p>
            <w:pPr>
              <w:pStyle w:val="Compact"/>
            </w:pPr>
            <w:r>
              <w:t xml:space="preserve">17.4</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49"/>
    <w:bookmarkStart w:id="150"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50"/>
    <w:bookmarkStart w:id="151"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77" Target="media/rId77.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91" Target="media/rId91.jpg" /><Relationship Type="http://schemas.openxmlformats.org/officeDocument/2006/relationships/image" Id="rId98" Target="media/rId98.jp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22" Target="media/rId122.png" /><Relationship Type="http://schemas.openxmlformats.org/officeDocument/2006/relationships/hyperlink" Id="rId137" Target="http://www.secretariasenado.gov.co/senado/basedoc/ley_1581_2012.html" TargetMode="External" /><Relationship Type="http://schemas.openxmlformats.org/officeDocument/2006/relationships/hyperlink" Id="rId142" Target="https://doi.org/10.6028/NIST.SP.800-34r1" TargetMode="External" /><Relationship Type="http://schemas.openxmlformats.org/officeDocument/2006/relationships/hyperlink" Id="rId138" Target="https://doi.org/10.6028/NIST.SP.800-53r5" TargetMode="External" /><Relationship Type="http://schemas.openxmlformats.org/officeDocument/2006/relationships/hyperlink" Id="rId139" Target="https://doi.org/10.6028/NIST.SP.800-92"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6" Target="https://github.com/BrayanCABRERA123/lavarapido-security-service"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rapido-payment-service" TargetMode="External" /><Relationship Type="http://schemas.openxmlformats.org/officeDocument/2006/relationships/hyperlink" Id="rId140" Target="https://learn.microsoft.com/sql/relational-databases/backup-restore/back-up-and-restore-of-sql-server-databases" TargetMode="External" /><Relationship Type="http://schemas.openxmlformats.org/officeDocument/2006/relationships/hyperlink" Id="rId141"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7" Target="http://www.secretariasenado.gov.co/senado/basedoc/ley_1581_2012.html" TargetMode="External" /><Relationship Type="http://schemas.openxmlformats.org/officeDocument/2006/relationships/hyperlink" Id="rId142" Target="https://doi.org/10.6028/NIST.SP.800-34r1" TargetMode="External" /><Relationship Type="http://schemas.openxmlformats.org/officeDocument/2006/relationships/hyperlink" Id="rId138" Target="https://doi.org/10.6028/NIST.SP.800-53r5" TargetMode="External" /><Relationship Type="http://schemas.openxmlformats.org/officeDocument/2006/relationships/hyperlink" Id="rId139" Target="https://doi.org/10.6028/NIST.SP.800-92"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6" Target="https://github.com/BrayanCABRERA123/lavarapido-security-service"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rapido-payment-service" TargetMode="External" /><Relationship Type="http://schemas.openxmlformats.org/officeDocument/2006/relationships/hyperlink" Id="rId140" Target="https://learn.microsoft.com/sql/relational-databases/backup-restore/back-up-and-restore-of-sql-server-databases" TargetMode="External" /><Relationship Type="http://schemas.openxmlformats.org/officeDocument/2006/relationships/hyperlink" Id="rId141"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2026-10-17T01:20:08Z</dcterms:created>
  <dcterms:modified xsi:type="dcterms:W3CDTF">2026-10-17T01:20:08Z</dcterms:modified>
</cp:coreProperties>
</file>

<file path=docProps/custom.xml><?xml version="1.0" encoding="utf-8"?>
<Properties xmlns="http://schemas.openxmlformats.org/officeDocument/2006/custom-properties" xmlns:vt="http://schemas.openxmlformats.org/officeDocument/2006/docPropsVTypes"/>
</file>