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documento: Procedimiento de implementación (equipo de desarrollo, administrador de TI y responsable del negocio) · Versión 2.3</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indicó que la aplicación móvil necesita un APK nuevo por los módulos nativos del informe de inspección (sección 11.7, Fase 6).</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Integración continua con GitHub Actions en los 10 repositorios y despliegue desde GitHub: se actualizaron el alcance (6.2) y el riesgo R-I09.</w:t>
            </w:r>
          </w:p>
        </w:tc>
        <w:tc>
          <w:tcPr/>
          <w:p>
            <w:pPr>
              <w:pStyle w:val="Compact"/>
            </w:pPr>
            <w:r>
              <w:t xml:space="preserve">Equipo de desarrollo</w:t>
            </w:r>
          </w:p>
        </w:tc>
      </w:tr>
      <w:tr>
        <w:tc>
          <w:tcPr/>
          <w:p>
            <w:pPr>
              <w:pStyle w:val="Compact"/>
            </w:pPr>
            <w:r>
              <w:t xml:space="preserve">2.3</w:t>
            </w:r>
          </w:p>
        </w:tc>
        <w:tc>
          <w:tcPr/>
          <w:p>
            <w:pPr>
              <w:pStyle w:val="Compact"/>
            </w:pPr>
            <w:r>
              <w:t xml:space="preserve">2026-10-20</w:t>
            </w:r>
          </w:p>
        </w:tc>
        <w:tc>
          <w:tcPr/>
          <w:p>
            <w:pPr>
              <w:pStyle w:val="Compact"/>
            </w:pPr>
            <w:r>
              <w:t xml:space="preserve">Revisión contra el código del 20 de octubre de 2026: criterio E2 con las pruebas del 19 de octubre (655 automatizadas y 19 de punta a punta) y colas de RabbitMQ corregidas (la cola de operations-service no tiene cola de mensajes muertos) y plan de comunicación (el panel no envía avisos generales).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17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configuración de la integración continua: desde el 19 de octubre de 2026 cada repositorio compila y corre sus pruebas con GitHub Actions en cada cambio, y la actualización del servidor también se puede lanzar desde GitHub (Documento de Despliegue). La fase 2 se mantiene para verificar la versión antes de implementarla.</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 Quintero)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 y la suite de punta a punta de</w:t>
            </w:r>
            <w:r>
              <w:t xml:space="preserve"> </w:t>
            </w:r>
            <w:r>
              <w:rPr>
                <w:i/>
                <w:iCs/>
              </w:rPr>
              <w:t xml:space="preserve">lavarapido-infra/e2e</w:t>
            </w:r>
            <w:r>
              <w:t xml:space="preserve"> </w:t>
            </w:r>
            <w:r>
              <w:t xml:space="preserve">contra los contenedores.</w:t>
            </w:r>
          </w:p>
        </w:tc>
        <w:tc>
          <w:tcPr/>
          <w:p>
            <w:pPr>
              <w:pStyle w:val="Compact"/>
            </w:pPr>
            <w:r>
              <w:t xml:space="preserve">Resúmenes sin fallos (el 19 de octubre de 2026: 655 pruebas automatizadas y 19 de punta a punta).</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1"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57 tablas en los nueve esquemas (Manual de Instalación, sección 11.5) y que la topología de RabbitMQ existe (exchange</w:t>
      </w:r>
      <w:r>
        <w:t xml:space="preserve"> </w:t>
      </w:r>
      <w:r>
        <w:rPr>
          <w:i/>
          <w:iCs/>
        </w:rPr>
        <w:t xml:space="preserve">carwash.events</w:t>
      </w:r>
      <w:r>
        <w:t xml:space="preserve"> </w:t>
      </w:r>
      <w:r>
        <w:t xml:space="preserve">y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cada una con su</w:t>
      </w:r>
      <w:r>
        <w:t xml:space="preserve"> </w:t>
      </w:r>
      <w:r>
        <w:rPr>
          <w:i/>
          <w:iCs/>
        </w:rPr>
        <w:t xml:space="preserve">.dlq</w:t>
      </w:r>
      <w:r>
        <w:t xml:space="preserve">, y</w:t>
      </w:r>
      <w:r>
        <w:t xml:space="preserve"> </w:t>
      </w:r>
      <w:r>
        <w:rPr>
          <w:i/>
          <w:iCs/>
        </w:rPr>
        <w:t xml:space="preserve">operations-service.events</w:t>
      </w:r>
      <w:r>
        <w:t xml:space="preserve">, que no tiene cola de mensajes muertos).</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43"/>
    <w:bookmarkStart w:id="44"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 La versión del 17 de octubre de 2026 agrega los módulos nativos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(fotos del informe de inspección), por lo que exige compilar y publicar un APK nuevo; una actualización por internet (</w:t>
      </w:r>
      <w:r>
        <w:rPr>
          <w:i/>
          <w:iCs/>
        </w:rPr>
        <w:t xml:space="preserve">npm run publish:update</w:t>
      </w:r>
      <w:r>
        <w:t xml:space="preserve">) no basta, porque solo cambia el código de las pantallas.</w:t>
      </w:r>
    </w:p>
    <w:p>
      <w:pPr>
        <w:pStyle w:val="FirstParagraph"/>
      </w:pPr>
      <w:r>
        <w:rPr>
          <w:b/>
          <w:bCs/>
        </w:rPr>
        <w:t xml:space="preserve">Evidencia:</w:t>
      </w:r>
      <w:r>
        <w:t xml:space="preserve"> </w:t>
      </w:r>
      <w:r>
        <w:t xml:space="preserve">captura de la pantalla de bienvenida servida desde el servidor, con la barra de direcciones visible.</w:t>
      </w:r>
    </w:p>
    <w:bookmarkEnd w:id="44"/>
    <w:bookmarkStart w:id="45"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5"/>
    <w:bookmarkStart w:id="46"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nueve pruebas pasan. Una falla en H1 a H8 activa la evaluación de reversión (sección 12).</w:t>
      </w:r>
    </w:p>
    <w:bookmarkEnd w:id="46"/>
    <w:bookmarkStart w:id="47"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7"/>
    <w:bookmarkStart w:id="48"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8"/>
    <w:bookmarkStart w:id="49"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49"/>
    <w:bookmarkStart w:id="50"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0"/>
    <w:bookmarkEnd w:id="51"/>
    <w:bookmarkStart w:id="52"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2"/>
    <w:bookmarkStart w:id="53"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3"/>
    <w:bookmarkStart w:id="54"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La integración continua no corre las pruebas de punta a punta, que necesitan el sistema completo, y una regresión entre servicios puede pasar sin detectarse.</w:t>
            </w:r>
          </w:p>
        </w:tc>
        <w:tc>
          <w:tcPr/>
          <w:p>
            <w:pPr>
              <w:pStyle w:val="Compact"/>
            </w:pPr>
            <w:r>
              <w:t xml:space="preserve">Baja</w:t>
            </w:r>
          </w:p>
        </w:tc>
        <w:tc>
          <w:tcPr/>
          <w:p>
            <w:pPr>
              <w:pStyle w:val="Compact"/>
            </w:pPr>
            <w:r>
              <w:t xml:space="preserve">Medio</w:t>
            </w:r>
          </w:p>
        </w:tc>
        <w:tc>
          <w:tcPr/>
          <w:p>
            <w:pPr>
              <w:pStyle w:val="Compact"/>
            </w:pPr>
            <w:r>
              <w:t xml:space="preserve">Confirmar que GitHub Actions está en verde en los 10 repositorios y ejecutar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54"/>
    <w:bookmarkStart w:id="55"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Mensaje directo y aviso en el lavadero (la web y la app no tienen una pantalla para enviar avisos generales; acción de mejora AM-13)</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5"/>
    <w:bookmarkStart w:id="56"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6"/>
    <w:bookmarkStart w:id="57"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7"/>
    <w:bookmarkStart w:id="6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59">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0">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2e3e49dda673ee34f20c24c82b99ea2a956b06e"/>
    <w:p>
      <w:pPr>
        <w:pStyle w:val="Heading2"/>
      </w:pPr>
      <w:r>
        <w:t xml:space="preserve">18. Anexos</w:t>
      </w:r>
    </w:p>
    <w:bookmarkStart w:id="63"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3"/>
    <w:bookmarkStart w:id="64"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4"/>
    <w:bookmarkStart w:id="65"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5"/>
    <w:bookmarkStart w:id="66"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2026-10-20T20:43:19Z</dcterms:created>
  <dcterms:modified xsi:type="dcterms:W3CDTF">2026-10-20T20:43:19Z</dcterms:modified>
</cp:coreProperties>
</file>

<file path=docProps/custom.xml><?xml version="1.0" encoding="utf-8"?>
<Properties xmlns="http://schemas.openxmlformats.org/officeDocument/2006/custom-properties" xmlns:vt="http://schemas.openxmlformats.org/officeDocument/2006/docPropsVTypes"/>
</file>