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8.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77.png" ContentType="image/png"/>
  <Override PartName="/word/media/rId83.png" ContentType="image/png"/>
  <Override PartName="/word/media/rId89.png" ContentType="image/png"/>
  <Override PartName="/word/media/rId95.png" ContentType="image/png"/>
  <Override PartName="/word/media/rId104.png" ContentType="image/png"/>
  <Override PartName="/word/media/rId110.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6.png" ContentType="image/png"/>
  <Override PartName="/word/media/rId60.png" ContentType="image/png"/>
  <Override PartName="/word/media/rId64.png" ContentType="image/png"/>
  <Override PartName="/word/media/rId73.png" ContentType="image/png"/>
  <Override PartName="/word/media/rId81.png" ContentType="image/png"/>
  <Override PartName="/word/media/rId85.png" ContentType="image/png"/>
  <Override PartName="/word/media/rId93.png" ContentType="image/png"/>
  <Override PartName="/word/media/rId102.png" ContentType="image/png"/>
  <Override PartName="/word/media/rId106.png" ContentType="image/png"/>
  <Override PartName="/word/media/rId114.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2.2, October 19,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20, 2026, the content was checked again against the code: the client only cancels (the administrator reschedules), the role change of accounts was removed, the sequences and states that did not match were corrected, and the use case and other diagrams were redrawn with straight lines and no crossings. On October 19, 2026, use cases CU31 and CU32, password recovery (section 2.10) and the account life cycle (section 4.6) were added, and the screenshots of the screen inventory were taken again with demo data. 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35" w:name="Xa5b5bdac1e85e657bbb2cb9aaa1459d8e9f2b82"/>
    <w:p>
      <w:pPr>
        <w:pStyle w:val="Heading2"/>
      </w:pPr>
      <w:r>
        <w:t xml:space="preserve">1. Use Cases by Actor</w:t>
      </w:r>
    </w:p>
    <w:bookmarkStart w:id="33" w:name="Xe62296e92f41f95af11d717635bf5a74bd92a98"/>
    <w:p>
      <w:pPr>
        <w:pStyle w:val="Heading3"/>
      </w:pPr>
      <w:r>
        <w:t xml:space="preserve">1.1 Use Case Diagram</w:t>
      </w:r>
    </w:p>
    <w:p>
      <w:pPr>
        <w:pStyle w:val="FirstParagraph"/>
      </w:pPr>
      <w:r>
        <w:t xml:space="preserve">The 32 use cases are presented in four diagrams, one per actor, grouped by module.</w:t>
      </w:r>
    </w:p>
    <w:p>
      <w:pPr>
        <w:pStyle w:val="BodyText"/>
      </w:pPr>
      <w:r>
        <w:rPr>
          <w:b/>
          <w:bCs/>
        </w:rPr>
        <w:t xml:space="preserve">Use cases common to the three roles</w:t>
      </w:r>
    </w:p>
    <w:p>
      <w:pPr>
        <w:pStyle w:val="BodyText"/>
      </w:pPr>
      <w:r>
        <w:drawing>
          <wp:inline>
            <wp:extent cx="5334000" cy="6277970"/>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Customer use cases</w:t>
      </w:r>
    </w:p>
    <w:p>
      <w:pPr>
        <w:pStyle w:val="BodyText"/>
      </w:pPr>
      <w:r>
        <w:drawing>
          <wp:inline>
            <wp:extent cx="5334000" cy="4690241"/>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690241"/>
                    </a:xfrm>
                    <a:prstGeom prst="rect">
                      <a:avLst/>
                    </a:prstGeom>
                    <a:noFill/>
                    <a:ln w="9525">
                      <a:noFill/>
                      <a:headEnd/>
                      <a:tailEnd/>
                    </a:ln>
                  </pic:spPr>
                </pic:pic>
              </a:graphicData>
            </a:graphic>
          </wp:inline>
        </w:drawing>
      </w:r>
    </w:p>
    <w:p>
      <w:pPr>
        <w:pStyle w:val="BodyText"/>
      </w:pPr>
      <w:r>
        <w:rPr>
          <w:b/>
          <w:bCs/>
        </w:rPr>
        <w:t xml:space="preserve">Operator use cases</w:t>
      </w:r>
    </w:p>
    <w:p>
      <w:pPr>
        <w:pStyle w:val="BodyText"/>
      </w:pPr>
      <w:r>
        <w:drawing>
          <wp:inline>
            <wp:extent cx="5334000" cy="2584515"/>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584515"/>
                    </a:xfrm>
                    <a:prstGeom prst="rect">
                      <a:avLst/>
                    </a:prstGeom>
                    <a:noFill/>
                    <a:ln w="9525">
                      <a:noFill/>
                      <a:headEnd/>
                      <a:tailEnd/>
                    </a:ln>
                  </pic:spPr>
                </pic:pic>
              </a:graphicData>
            </a:graphic>
          </wp:inline>
        </w:drawing>
      </w:r>
    </w:p>
    <w:p>
      <w:pPr>
        <w:pStyle w:val="BodyText"/>
      </w:pPr>
      <w:r>
        <w:rPr>
          <w:b/>
          <w:bCs/>
        </w:rPr>
        <w:t xml:space="preserve">Administrator and System use cases</w:t>
      </w:r>
    </w:p>
    <w:p>
      <w:pPr>
        <w:pStyle w:val="BodyText"/>
      </w:pPr>
      <w:r>
        <w:drawing>
          <wp:inline>
            <wp:extent cx="5334000" cy="8312727"/>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312727"/>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and CU32 groups the processes that run without anyone asking for them (reminders, alerts, notices and the first administrator). The customer does not record the inspection report (CU30): they view it through the link the administrator shares. In CU07 the customer cancels from the history or the payment screen; a new date or time is set by the administrator from Bookings (CU29), since neither the web nor the app has a reschedule screen for the customer. In CU27 the role is chosen when the account is created; the users list does not change it.</w:t>
      </w:r>
    </w:p>
    <w:bookmarkEnd w:id="33"/>
    <w:bookmarkStart w:id="34"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p>
      <w:pPr>
        <w:pStyle w:val="BodyText"/>
      </w:pPr>
      <w:r>
        <w:t xml:space="preserve">The specification of each of the 32 use cases (precondition, main flow, alternative flows, postcondition, status) is in the</w:t>
      </w:r>
      <w:r>
        <w:t xml:space="preserve"> </w:t>
      </w:r>
      <w:r>
        <w:rPr>
          <w:i/>
          <w:iCs/>
        </w:rPr>
        <w:t xml:space="preserve">Software Requirements Specification</w:t>
      </w:r>
      <w:r>
        <w:t xml:space="preserve">, Tables 23 to 54.</w:t>
      </w:r>
    </w:p>
    <w:p>
      <w:r>
        <w:pict>
          <v:rect style="width:0;height:1.5pt" o:hralign="center" o:hrstd="t" o:hr="t"/>
        </w:pict>
      </w:r>
    </w:p>
    <w:bookmarkEnd w:id="34"/>
    <w:bookmarkEnd w:id="35"/>
    <w:bookmarkStart w:id="76"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39" w:name="X52cc9fc40728f1aa29d6c98d63297d4fcf75827"/>
    <w:p>
      <w:pPr>
        <w:pStyle w:val="Heading3"/>
      </w:pPr>
      <w:r>
        <w:t xml:space="preserve">2.1 Registration and welcome (RF-001, RF-018)</w:t>
      </w:r>
    </w:p>
    <w:p>
      <w:pPr>
        <w:pStyle w:val="FirstParagraph"/>
      </w:pPr>
      <w:r>
        <w:drawing>
          <wp:inline>
            <wp:extent cx="5334000" cy="1711098"/>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71109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39"/>
    <w:bookmarkStart w:id="43" w:name="Xbe0f85631c885c7860cb7d6bbba7973190637fa"/>
    <w:p>
      <w:pPr>
        <w:pStyle w:val="Heading3"/>
      </w:pPr>
      <w:r>
        <w:t xml:space="preserve">2.2 Booking a wash (RF-005, RF-006, RF-010)</w:t>
      </w:r>
    </w:p>
    <w:p>
      <w:pPr>
        <w:pStyle w:val="FirstParagraph"/>
      </w:pPr>
      <w:r>
        <w:drawing>
          <wp:inline>
            <wp:extent cx="5334000" cy="2228169"/>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2816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43"/>
    <w:bookmarkStart w:id="47" w:name="Xb07dfcb901c60b6074f42461927056037f34971"/>
    <w:p>
      <w:pPr>
        <w:pStyle w:val="Heading3"/>
      </w:pPr>
      <w:r>
        <w:t xml:space="preserve">2.3 Reminders and alert for bookings without an operator (ADR-011)</w:t>
      </w:r>
    </w:p>
    <w:p>
      <w:pPr>
        <w:pStyle w:val="FirstParagraph"/>
      </w:pPr>
      <w:r>
        <w:drawing>
          <wp:inline>
            <wp:extent cx="5334000" cy="1353910"/>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53910"/>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47"/>
    <w:bookmarkStart w:id="51" w:name="Xb89957c35079c04db5d23b6e0ff6e62496b36b1"/>
    <w:p>
      <w:pPr>
        <w:pStyle w:val="Heading3"/>
      </w:pPr>
      <w:r>
        <w:t xml:space="preserve">2.4 Operator assignment, execution and rating (RF-008, RF-009, RF-010, RF-011, RF-012, RF-012b)</w:t>
      </w:r>
    </w:p>
    <w:p>
      <w:pPr>
        <w:pStyle w:val="FirstParagraph"/>
      </w:pPr>
      <w:r>
        <w:drawing>
          <wp:inline>
            <wp:extent cx="5334000" cy="3214687"/>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21468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2bd9f900e5dbe02e73b9d8c9f2cf515ed8ee191"/>
    <w:p>
      <w:pPr>
        <w:pStyle w:val="Heading3"/>
      </w:pPr>
      <w:r>
        <w:t xml:space="preserve">2.5 Payment by receipt and review (RF-013, RF-013b, RF-014)</w:t>
      </w:r>
    </w:p>
    <w:p>
      <w:pPr>
        <w:pStyle w:val="FirstParagraph"/>
      </w:pPr>
      <w:r>
        <w:drawing>
          <wp:inline>
            <wp:extent cx="5334000" cy="3201080"/>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201080"/>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w:t>
      </w:r>
      <w:r>
        <w:t xml:space="preserve"> </w:t>
      </w:r>
      <w:r>
        <w:rPr>
          <w:rStyle w:val="VerbatimChar"/>
        </w:rPr>
        <w:t xml:space="preserve">Payment</w:t>
      </w:r>
      <w:r>
        <w:t xml:space="preserve"> </w:t>
      </w:r>
      <w:r>
        <w:t xml:space="preserve">aggregate, ADR-008, ADR-013). notification-service turns each</w:t>
      </w:r>
      <w:r>
        <w:t xml:space="preserve"> </w:t>
      </w:r>
      <w:r>
        <w:rPr>
          <w:rStyle w:val="VerbatimChar"/>
        </w:rPr>
        <w:t xml:space="preserve">payment.*</w:t>
      </w:r>
      <w:r>
        <w:t xml:space="preserve"> </w:t>
      </w:r>
      <w:r>
        <w:t xml:space="preserve">event into a notice for the customer.</w:t>
      </w:r>
    </w:p>
    <w:bookmarkEnd w:id="55"/>
    <w:bookmarkStart w:id="59" w:name="Xff4434a1e16d0db5c50b9535953801670de0b67"/>
    <w:p>
      <w:pPr>
        <w:pStyle w:val="Heading3"/>
      </w:pPr>
      <w:r>
        <w:t xml:space="preserve">2.6 Coupon redemption and loyalty points (RF-024, RF-025, RF-026)</w:t>
      </w:r>
    </w:p>
    <w:p>
      <w:pPr>
        <w:pStyle w:val="FirstParagraph"/>
      </w:pPr>
      <w:r>
        <w:drawing>
          <wp:inline>
            <wp:extent cx="5334000" cy="1860776"/>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86077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59"/>
    <w:bookmarkStart w:id="63" w:name="X5981c3ad8b2d920eccd81e5b65a51fa7997f8ab"/>
    <w:p>
      <w:pPr>
        <w:pStyle w:val="Heading3"/>
      </w:pPr>
      <w:r>
        <w:t xml:space="preserve">2.7 Roles and permissions management (RF-029)</w:t>
      </w:r>
    </w:p>
    <w:p>
      <w:pPr>
        <w:pStyle w:val="FirstParagraph"/>
      </w:pPr>
      <w:r>
        <w:drawing>
          <wp:inline>
            <wp:extent cx="5334000" cy="1836964"/>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83696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63"/>
    <w:bookmarkStart w:id="67" w:name="Xba048a3aa76be03136ef6cc7a58be1a0ff9850e"/>
    <w:p>
      <w:pPr>
        <w:pStyle w:val="Heading3"/>
      </w:pPr>
      <w:r>
        <w:t xml:space="preserve">2.8 Sign-in with lockout after failed attempts (RF-002, RF-004b)</w:t>
      </w:r>
    </w:p>
    <w:p>
      <w:pPr>
        <w:pStyle w:val="FirstParagraph"/>
      </w:pPr>
      <w:r>
        <w:drawing>
          <wp:inline>
            <wp:extent cx="5334000" cy="2143125"/>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214312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w:t>
      </w:r>
    </w:p>
    <w:bookmarkEnd w:id="67"/>
    <w:bookmarkStart w:id="71" w:name="X3e9e75764694e273a0b36da64b34bf7e28e13e9"/>
    <w:p>
      <w:pPr>
        <w:pStyle w:val="Heading3"/>
      </w:pPr>
      <w:r>
        <w:t xml:space="preserve">2.9 Vehicle inspection report (RF-036)</w:t>
      </w:r>
    </w:p>
    <w:p>
      <w:pPr>
        <w:pStyle w:val="FirstParagraph"/>
      </w:pPr>
      <w:r>
        <w:drawing>
          <wp:inline>
            <wp:extent cx="5334000" cy="1847169"/>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84716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bookmarkEnd w:id="71"/>
    <w:bookmarkStart w:id="75" w:name="X01ba40595ffec5aa17afc640054fff9c9c4f0b8"/>
    <w:p>
      <w:pPr>
        <w:pStyle w:val="Heading3"/>
      </w:pPr>
      <w:r>
        <w:t xml:space="preserve">2.10 Password recovery with a 6-digit code (RF-003)</w:t>
      </w:r>
    </w:p>
    <w:p>
      <w:pPr>
        <w:pStyle w:val="FirstParagraph"/>
      </w:pPr>
      <w:r>
        <w:drawing>
          <wp:inline>
            <wp:extent cx="5334000" cy="3422196"/>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42219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with</w:t>
      </w:r>
      <w:r>
        <w:t xml:space="preserve"> </w:t>
      </w:r>
      <w:r>
        <w:rPr>
          <w:rStyle w:val="VerbatimChar"/>
        </w:rPr>
        <w:t xml:space="preserve">code-ttl: 15m</w:t>
      </w:r>
      <w:r>
        <w:t xml:space="preserve"> </w:t>
      </w:r>
      <w:r>
        <w:t xml:space="preserve">and</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The</w:t>
      </w:r>
      <w:r>
        <w:t xml:space="preserve"> </w:t>
      </w:r>
      <w:r>
        <w:rPr>
          <w:i/>
          <w:iCs/>
        </w:rPr>
        <w:t xml:space="preserve">forgot</w:t>
      </w:r>
      <w:r>
        <w:t xml:space="preserve"> </w:t>
      </w:r>
      <w:r>
        <w:t xml:space="preserve">answer does not reveal whether the email exists.</w:t>
      </w:r>
    </w:p>
    <w:p>
      <w:r>
        <w:pict>
          <v:rect style="width:0;height:1.5pt" o:hralign="center" o:hrstd="t" o:hr="t"/>
        </w:pict>
      </w:r>
    </w:p>
    <w:bookmarkEnd w:id="75"/>
    <w:bookmarkEnd w:id="76"/>
    <w:bookmarkStart w:id="101"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80" w:name="X84557c45d9fa5013d5cfc4e3a66bc07316c29a0"/>
    <w:p>
      <w:pPr>
        <w:pStyle w:val="Heading3"/>
      </w:pPr>
      <w:r>
        <w:t xml:space="preserve">3.1 Authentication (RF-001 to RF-004)</w:t>
      </w:r>
    </w:p>
    <w:p>
      <w:pPr>
        <w:pStyle w:val="FirstParagraph"/>
      </w:pPr>
      <w:r>
        <w:drawing>
          <wp:inline>
            <wp:extent cx="5334000" cy="5269366"/>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269366"/>
                    </a:xfrm>
                    <a:prstGeom prst="rect">
                      <a:avLst/>
                    </a:prstGeom>
                    <a:noFill/>
                    <a:ln w="9525">
                      <a:noFill/>
                      <a:headEnd/>
                      <a:tailEnd/>
                    </a:ln>
                  </pic:spPr>
                </pic:pic>
              </a:graphicData>
            </a:graphic>
          </wp:inline>
        </w:drawing>
      </w:r>
    </w:p>
    <w:bookmarkEnd w:id="80"/>
    <w:bookmarkStart w:id="84" w:name="Xc8ecda42e201ad196deff0e8ec46d2e486891d1"/>
    <w:p>
      <w:pPr>
        <w:pStyle w:val="Heading3"/>
      </w:pPr>
      <w:r>
        <w:t xml:space="preserve">3.2 Booking a wash (RF-005, RF-006, RF-007, RF-010)</w:t>
      </w:r>
    </w:p>
    <w:p>
      <w:pPr>
        <w:pStyle w:val="FirstParagraph"/>
      </w:pPr>
      <w:r>
        <w:drawing>
          <wp:inline>
            <wp:extent cx="5334000" cy="14324610"/>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4324610"/>
                    </a:xfrm>
                    <a:prstGeom prst="rect">
                      <a:avLst/>
                    </a:prstGeom>
                    <a:noFill/>
                    <a:ln w="9525">
                      <a:noFill/>
                      <a:headEnd/>
                      <a:tailEnd/>
                    </a:ln>
                  </pic:spPr>
                </pic:pic>
              </a:graphicData>
            </a:graphic>
          </wp:inline>
        </w:drawing>
      </w:r>
    </w:p>
    <w:bookmarkEnd w:id="84"/>
    <w:bookmarkStart w:id="88" w:name="X3bb8c9f36caa106636bb47f1ec7a14db7855088"/>
    <w:p>
      <w:pPr>
        <w:pStyle w:val="Heading3"/>
      </w:pPr>
      <w:r>
        <w:t xml:space="preserve">3.3 Operator assignment and service execution (RF-008, RF-009, RF-010, RF-011, RF-012b)</w:t>
      </w:r>
    </w:p>
    <w:p>
      <w:pPr>
        <w:pStyle w:val="FirstParagraph"/>
      </w:pPr>
      <w:r>
        <w:drawing>
          <wp:inline>
            <wp:extent cx="5334000" cy="11813587"/>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1813587"/>
                    </a:xfrm>
                    <a:prstGeom prst="rect">
                      <a:avLst/>
                    </a:prstGeom>
                    <a:noFill/>
                    <a:ln w="9525">
                      <a:noFill/>
                      <a:headEnd/>
                      <a:tailEnd/>
                    </a:ln>
                  </pic:spPr>
                </pic:pic>
              </a:graphicData>
            </a:graphic>
          </wp:inline>
        </w:drawing>
      </w:r>
    </w:p>
    <w:bookmarkEnd w:id="88"/>
    <w:bookmarkStart w:id="92" w:name="X79e102d9f320c37517cd20ae4729c0b9a93bbbb"/>
    <w:p>
      <w:pPr>
        <w:pStyle w:val="Heading3"/>
      </w:pPr>
      <w:r>
        <w:t xml:space="preserve">3.4 Paying for a booking (RF-013, RF-013b, RF-014, RF-016)</w:t>
      </w:r>
    </w:p>
    <w:p>
      <w:pPr>
        <w:pStyle w:val="FirstParagraph"/>
      </w:pPr>
      <w:r>
        <w:drawing>
          <wp:inline>
            <wp:extent cx="5334000" cy="12041210"/>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2041210"/>
                    </a:xfrm>
                    <a:prstGeom prst="rect">
                      <a:avLst/>
                    </a:prstGeom>
                    <a:noFill/>
                    <a:ln w="9525">
                      <a:noFill/>
                      <a:headEnd/>
                      <a:tailEnd/>
                    </a:ln>
                  </pic:spPr>
                </pic:pic>
              </a:graphicData>
            </a:graphic>
          </wp:inline>
        </w:drawing>
      </w:r>
    </w:p>
    <w:bookmarkEnd w:id="92"/>
    <w:bookmarkStart w:id="96" w:name="X34c2b0def064494fea8e6a68b485cff63b9fb4c"/>
    <w:p>
      <w:pPr>
        <w:pStyle w:val="Heading3"/>
      </w:pPr>
      <w:r>
        <w:t xml:space="preserve">3.5 Redeeming a loyalty coupon (RF-024, RF-025, RF-026)</w:t>
      </w:r>
    </w:p>
    <w:p>
      <w:pPr>
        <w:pStyle w:val="FirstParagraph"/>
      </w:pPr>
      <w:r>
        <w:drawing>
          <wp:inline>
            <wp:extent cx="5334000" cy="11862072"/>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1862072"/>
                    </a:xfrm>
                    <a:prstGeom prst="rect">
                      <a:avLst/>
                    </a:prstGeom>
                    <a:noFill/>
                    <a:ln w="9525">
                      <a:noFill/>
                      <a:headEnd/>
                      <a:tailEnd/>
                    </a:ln>
                  </pic:spPr>
                </pic:pic>
              </a:graphicData>
            </a:graphic>
          </wp:inline>
        </w:drawing>
      </w:r>
    </w:p>
    <w:bookmarkEnd w:id="96"/>
    <w:bookmarkStart w:id="100" w:name="X2f750111a2cf0e08d2957378d230a3e742d85e7"/>
    <w:p>
      <w:pPr>
        <w:pStyle w:val="Heading3"/>
      </w:pPr>
      <w:r>
        <w:t xml:space="preserve">3.6 Managing roles and permissions (RF-029)</w:t>
      </w:r>
    </w:p>
    <w:p>
      <w:pPr>
        <w:pStyle w:val="FirstParagraph"/>
      </w:pPr>
      <w:r>
        <w:drawing>
          <wp:inline>
            <wp:extent cx="5334000" cy="8553085"/>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8553085"/>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d6ade533f2ff66728236d2defe684b9b2e427fa"/>
    <w:p>
      <w:pPr>
        <w:pStyle w:val="Heading2"/>
      </w:pPr>
      <w:r>
        <w:t xml:space="preserve">4. State Diagrams</w:t>
      </w:r>
    </w:p>
    <w:bookmarkStart w:id="105" w:name="X0c06abbbebeaa8e94680adb7f879fc7ddaeeebb"/>
    <w:p>
      <w:pPr>
        <w:pStyle w:val="Heading3"/>
      </w:pPr>
      <w:r>
        <w:t xml:space="preserve">4.1 Booking life cycle (RF-006, RF-007)</w:t>
      </w:r>
    </w:p>
    <w:p>
      <w:pPr>
        <w:pStyle w:val="FirstParagraph"/>
      </w:pPr>
      <w:r>
        <w:drawing>
          <wp:inline>
            <wp:extent cx="5334000" cy="5888879"/>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588887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 The customer only cancels, before the start time and without writing a reason (the booking stores</w:t>
      </w:r>
      <w:r>
        <w:t xml:space="preserve"> </w:t>
      </w:r>
      <w:r>
        <w:rPr>
          <w:rStyle w:val="VerbatimChar"/>
        </w:rPr>
        <w:t xml:space="preserve">CUSTOMER_REQUEST</w:t>
      </w:r>
      <w:r>
        <w:t xml:space="preserve">); the administrator reschedules (CU29) and may choose the cancellation reason.</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105"/>
    <w:bookmarkStart w:id="109" w:name="X5488c9348c30097743190c9a08ddd0b5c7d244b"/>
    <w:p>
      <w:pPr>
        <w:pStyle w:val="Heading3"/>
      </w:pPr>
      <w:r>
        <w:t xml:space="preserve">4.2 Payment life cycle (RF-013b, RF-014, ADR-008)</w:t>
      </w:r>
    </w:p>
    <w:p>
      <w:pPr>
        <w:pStyle w:val="FirstParagraph"/>
      </w:pPr>
      <w:r>
        <w:drawing>
          <wp:inline>
            <wp:extent cx="5334000" cy="9924955"/>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 A customer payment goes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the cash payment the administrator registers is</w:t>
      </w:r>
      <w:r>
        <w:t xml:space="preserve"> </w:t>
      </w:r>
      <w:r>
        <w:rPr>
          <w:rStyle w:val="VerbatimChar"/>
        </w:rPr>
        <w:t xml:space="preserve">APPROVED</w:t>
      </w:r>
      <w:r>
        <w:t xml:space="preserve"> </w:t>
      </w:r>
      <w:r>
        <w:t xml:space="preserve">at once.</w:t>
      </w:r>
    </w:p>
    <w:bookmarkEnd w:id="109"/>
    <w:bookmarkStart w:id="113" w:name="X039eb54f2e1cca55a684e3d4e13cfeb31a875d4"/>
    <w:p>
      <w:pPr>
        <w:pStyle w:val="Heading3"/>
      </w:pPr>
      <w:r>
        <w:t xml:space="preserve">4.3 Service execution life cycle (RF-012b)</w:t>
      </w:r>
    </w:p>
    <w:p>
      <w:pPr>
        <w:pStyle w:val="FirstParagraph"/>
      </w:pPr>
      <w:r>
        <w:drawing>
          <wp:inline>
            <wp:extent cx="5334000" cy="7743776"/>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774377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COMPLETED</w:t>
      </w:r>
      <w:r>
        <w:t xml:space="preserve"> </w:t>
      </w:r>
      <w:r>
        <w:t xml:space="preserve">enables the customer's rating (RF-012).</w:t>
      </w:r>
      <w:r>
        <w:t xml:space="preserve"> </w:t>
      </w:r>
      <w:r>
        <w:rPr>
          <w:rStyle w:val="VerbatimChar"/>
        </w:rPr>
        <w:t xml:space="preserve">PAUSED</w:t>
      </w:r>
      <w:r>
        <w:t xml:space="preserve"> </w:t>
      </w:r>
      <w:r>
        <w:t xml:space="preserve">and</w:t>
      </w:r>
      <w:r>
        <w:t xml:space="preserve"> </w:t>
      </w:r>
      <w:r>
        <w:rPr>
          <w:rStyle w:val="VerbatimChar"/>
        </w:rPr>
        <w:t xml:space="preserve">WITH_ISSUE</w:t>
      </w:r>
      <w:r>
        <w:t xml:space="preserve"> </w:t>
      </w:r>
      <w:r>
        <w:t xml:space="preserve">exist in the</w:t>
      </w:r>
      <w:r>
        <w:t xml:space="preserve"> </w:t>
      </w:r>
      <w:r>
        <w:rPr>
          <w:rStyle w:val="VerbatimChar"/>
        </w:rPr>
        <w:t xml:space="preserve">execution.execution_status</w:t>
      </w:r>
      <w:r>
        <w:t xml:space="preserve"> </w:t>
      </w:r>
      <w:r>
        <w:t xml:space="preserve">catalog, but no use case uses them today.</w:t>
      </w:r>
    </w:p>
    <w:bookmarkEnd w:id="113"/>
    <w:bookmarkStart w:id="117" w:name="X1d8ec1aa22764bb32f88eb608f0f414fc199306"/>
    <w:p>
      <w:pPr>
        <w:pStyle w:val="Heading3"/>
      </w:pPr>
      <w:r>
        <w:t xml:space="preserve">4.4 Promotion life cycle (RF-024)</w:t>
      </w:r>
    </w:p>
    <w:p>
      <w:pPr>
        <w:pStyle w:val="FirstParagraph"/>
      </w:pPr>
      <w:r>
        <w:drawing>
          <wp:inline>
            <wp:extent cx="5334000" cy="7259289"/>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725928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The only thing stored is whether it is active or paused; the administrator's screen shows "scheduled" until the start date arrives. Only an active promotion within its validity period can be redeemed (RF-024, RN-PROMO-01): after the end date it is no longer offered or redeemed, although no "expired" status is stored.</w:t>
      </w:r>
    </w:p>
    <w:bookmarkEnd w:id="117"/>
    <w:bookmarkStart w:id="121" w:name="Xf0a13363d766bd4b2b977bc4e71a8fe4b552d49"/>
    <w:p>
      <w:pPr>
        <w:pStyle w:val="Heading3"/>
      </w:pPr>
      <w:r>
        <w:t xml:space="preserve">4.5 Inspection report and its phases (RF-036)</w:t>
      </w:r>
    </w:p>
    <w:p>
      <w:pPr>
        <w:pStyle w:val="FirstParagraph"/>
      </w:pPr>
      <w:r>
        <w:drawing>
          <wp:inline>
            <wp:extent cx="5334000" cy="5752809"/>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575280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w:t>
      </w:r>
    </w:p>
    <w:bookmarkEnd w:id="121"/>
    <w:bookmarkStart w:id="125" w:name="X7e0be48b999deb7df8f3dc15ea90087a5c12cae"/>
    <w:p>
      <w:pPr>
        <w:pStyle w:val="Heading3"/>
      </w:pPr>
      <w:r>
        <w:t xml:space="preserve">4.6 User account (RF-002, RF-004b, RF-027, RF-028)</w:t>
      </w:r>
    </w:p>
    <w:p>
      <w:pPr>
        <w:pStyle w:val="FirstParagraph"/>
      </w:pPr>
      <w:r>
        <w:drawing>
          <wp:inline>
            <wp:extent cx="5334000" cy="5016887"/>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501688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A locked account answers 423 even with the right password; an inactive one answers 403 after the password is checked. No administrator account can be deactivated (403</w:t>
      </w:r>
      <w:r>
        <w:t xml:space="preserve"> </w:t>
      </w:r>
      <w:r>
        <w:rPr>
          <w:rStyle w:val="VerbatimChar"/>
        </w:rPr>
        <w:t xml:space="preserve">ADMIN_CANNOT_BE_DISABLED</w:t>
      </w:r>
      <w:r>
        <w:t xml:space="preserve">), and an administrator cannot deactivate or close their own account (403</w:t>
      </w:r>
      <w:r>
        <w:t xml:space="preserve"> </w:t>
      </w:r>
      <w:r>
        <w:rPr>
          <w:rStyle w:val="VerbatimChar"/>
        </w:rPr>
        <w:t xml:space="preserve">CANNOT_DISABLE_OWN_ACCOUNT</w:t>
      </w:r>
      <w:r>
        <w:t xml:space="preserve">). Each account has one role, set when it is created: there is no role change.</w:t>
      </w:r>
    </w:p>
    <w:p>
      <w:r>
        <w:pict>
          <v:rect style="width:0;height:1.5pt" o:hralign="center" o:hrstd="t" o:hr="t"/>
        </w:pict>
      </w:r>
    </w:p>
    <w:bookmarkEnd w:id="125"/>
    <w:bookmarkEnd w:id="126"/>
    <w:bookmarkStart w:id="254"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 The Management → Users screenshot was taken again on October 20, 2026: the table only shows the user type and has the Enabled and Disabled filters. Since October 20, clicking a notification or a booking of the history opens its detail, with a button to go to the related section (for example,</w:t>
      </w:r>
      <w:r>
        <w:t xml:space="preserve"> </w:t>
      </w:r>
      <w:r>
        <w:rPr>
          <w:b/>
          <w:bCs/>
        </w:rPr>
        <w:t xml:space="preserve">Go to payment</w:t>
      </w:r>
      <w:r>
        <w:t xml:space="preserve">).</w:t>
      </w:r>
    </w:p>
    <w:bookmarkStart w:id="136"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201961"/>
                  <wp:effectExtent b="0" l="0" r="0" t="0"/>
                  <wp:docPr descr="Sign-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5076281"/>
                  <wp:effectExtent b="0" l="0" r="0" t="0"/>
                  <wp:docPr descr="Registration"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201961"/>
                  <wp:effectExtent b="0" l="0" r="0" t="0"/>
                  <wp:docPr descr="Password recovery"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4556938"/>
                  <wp:effectExtent b="0" l="0" r="0" t="0"/>
                  <wp:docPr descr="Admin dashboard"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201961"/>
                  <wp:effectExtent b="0" l="0" r="0" t="0"/>
                  <wp:docPr descr="User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9804400"/>
                  <wp:effectExtent b="0" l="0" r="0" t="0"/>
                  <wp:docPr descr="Create user modal"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4800600"/>
                  <wp:effectExtent b="0" l="0" r="0" t="0"/>
                  <wp:docPr descr="Edit permissions modal"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201961"/>
                  <wp:effectExtent b="0" l="0" r="0" t="0"/>
                  <wp:docPr descr="Catalog"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7029450"/>
                  <wp:effectExtent b="0" l="0" r="0" t="0"/>
                  <wp:docPr descr="Add service modal"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201961"/>
                  <wp:effectExtent b="0" l="0" r="0" t="0"/>
                  <wp:docPr descr="Promotion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6934200"/>
                  <wp:effectExtent b="0" l="0" r="0" t="0"/>
                  <wp:docPr descr="Create promotion modal"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4588177"/>
                  <wp:effectExtent b="0" l="0" r="0" t="0"/>
                  <wp:docPr descr="Opening hours and bay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4388427"/>
                  <wp:effectExtent b="0" l="0" r="0" t="0"/>
                  <wp:docPr descr="Add exception modal"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201961"/>
                  <wp:effectExtent b="0" l="0" r="0" t="0"/>
                  <wp:docPr descr="Operator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9804400"/>
                  <wp:effectExtent b="0" l="0" r="0" t="0"/>
                  <wp:docPr descr="New operator modal"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201961"/>
                  <wp:effectExtent b="0" l="0" r="0" t="0"/>
                  <wp:docPr descr="Booking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6229350"/>
                  <wp:effectExtent b="0" l="0" r="0" t="0"/>
                  <wp:docPr descr="Assign operator modal"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229350"/>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333750"/>
                  <wp:effectExtent b="0" l="0" r="0" t="0"/>
                  <wp:docPr descr="Payment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4185138"/>
                  <wp:effectExtent b="0" l="0" r="0" t="0"/>
                  <wp:docPr descr="Record payment modal"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4154740"/>
                  <wp:effectExtent b="0" l="0" r="0" t="0"/>
                  <wp:docPr descr="Report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4361696"/>
                  <wp:effectExtent b="0" l="0" r="0" t="0"/>
                  <wp:docPr descr="Payment accounts"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080000" cy="7188200"/>
                  <wp:effectExtent b="0" l="0" r="0" t="0"/>
                  <wp:docPr descr="Payment account modal"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Admin notifications"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201961"/>
                  <wp:effectExtent b="0" l="0" r="0" t="0"/>
                  <wp:docPr descr="Admin profile"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201961"/>
                  <wp:effectExtent b="0" l="0" r="0" t="0"/>
                  <wp:docPr descr="Customer dashboard"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4318000" cy="6883400"/>
                  <wp:effectExtent b="0" l="0" r="0" t="0"/>
                  <wp:docPr descr="Booking details modal"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201961"/>
                  <wp:effectExtent b="0" l="0" r="0" t="0"/>
                  <wp:docPr descr="Vehicle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4819650"/>
                  <wp:effectExtent b="0" l="0" r="0" t="0"/>
                  <wp:docPr descr="Register vehicle modal"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4623320"/>
                  <wp:effectExtent b="0" l="0" r="0" t="0"/>
                  <wp:docPr descr="Book a wash"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7485562"/>
                  <wp:effectExtent b="0" l="0" r="0" t="0"/>
                  <wp:docPr descr="History"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201961"/>
                  <wp:effectExtent b="0" l="0" r="0" t="0"/>
                  <wp:docPr descr="Payment"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4927600" cy="3200400"/>
                  <wp:effectExtent b="0" l="0" r="0" t="0"/>
                  <wp:docPr descr="Cancel booking modal"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Customer notifications"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201961"/>
                  <wp:effectExtent b="0" l="0" r="0" t="0"/>
                  <wp:docPr descr="Settings"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201961"/>
                  <wp:effectExtent b="0" l="0" r="0" t="0"/>
                  <wp:docPr descr="Operator dashboard"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201961"/>
                  <wp:effectExtent b="0" l="0" r="0" t="0"/>
                  <wp:docPr descr="Assigned service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201961"/>
                  <wp:effectExtent b="0" l="0" r="0" t="0"/>
                  <wp:docPr descr="My schedule"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4248456"/>
                  <wp:effectExtent b="0" l="0" r="0" t="0"/>
                  <wp:docPr descr="Operator history"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4248456"/>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6403923"/>
                  <wp:effectExtent b="0" l="0" r="0" t="0"/>
                  <wp:docPr descr="Rating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6403923"/>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2026-10-20T20:41:58Z</dcterms:created>
  <dcterms:modified xsi:type="dcterms:W3CDTF">2026-10-20T20:41:58Z</dcterms:modified>
</cp:coreProperties>
</file>

<file path=docProps/custom.xml><?xml version="1.0" encoding="utf-8"?>
<Properties xmlns="http://schemas.openxmlformats.org/officeDocument/2006/custom-properties" xmlns:vt="http://schemas.openxmlformats.org/officeDocument/2006/docPropsVTypes"/>
</file>