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974b29da5ef87e6fddb6f18c24ff84b9789dc25"/>
    <w:p>
      <w:pPr>
        <w:pStyle w:val="Heading1"/>
      </w:pPr>
      <w:r>
        <w:t xml:space="preserve">Artefactos de Código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Artefactos de código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20 de octubre de 2026</w:t>
            </w:r>
          </w:p>
        </w:tc>
      </w:tr>
    </w:tbl>
    <w:p>
      <w:pPr>
        <w:pStyle w:val="BodyText"/>
      </w:pPr>
      <w:r>
        <w:t xml:space="preserve">El código del sistema está en 10 repositorios de GitHub: la aplicación web, la aplicación móvil y 8 del backend. Cada uno tiene un flujo de GitHub Actions (</w:t>
      </w:r>
      <w:r>
        <w:rPr>
          <w:rStyle w:val="VerbatimChar"/>
        </w:rPr>
        <w:t xml:space="preserve">.github/workflows/ci.yml</w:t>
      </w:r>
      <w:r>
        <w:t xml:space="preserve">) que compila y corre sus pruebas en cada cambio (en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valida los scripts de despliegue, los archivos de Docker Compose y la sintaxis de las pruebas de punta a punta);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tiene además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un flujo que se lanza a mano para actualizar el servidor. Este documento inventaría los dos clientes y explica cómo compilarlos y ejecutarlos; el backend se describe solo en lo necesario para que los clientes funcionen. No se reproduce el código fuente.</w:t>
      </w:r>
    </w:p>
    <w:bookmarkEnd w:id="20"/>
    <w:bookmarkStart w:id="31" w:name="X850f57980062b7cb2ad4f21af35007711c748fe"/>
    <w:p>
      <w:pPr>
        <w:pStyle w:val="Heading2"/>
      </w:pPr>
      <w:r>
        <w:t xml:space="preserve">1. Inventario de repositorios</w:t>
      </w:r>
    </w:p>
    <w:p>
      <w:pPr>
        <w:pStyle w:val="FirstParagraph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Repositorios del sistema (rama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, corte 20 de octubre de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Último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Tamaño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Archivos fuente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  <w:tc>
          <w:tcPr/>
          <w:p>
            <w:pPr>
              <w:pStyle w:val="Compact"/>
            </w:pPr>
            <w:r>
              <w:t xml:space="preserve">Pantallas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442</w:t>
            </w:r>
          </w:p>
        </w:tc>
        <w:tc>
          <w:tcPr/>
          <w:p>
            <w:pPr>
              <w:pStyle w:val="Compact"/>
            </w:pPr>
            <w:r>
              <w:t xml:space="preserve">47 100</w:t>
            </w:r>
          </w:p>
        </w:tc>
        <w:tc>
          <w:tcPr/>
          <w:p>
            <w:pPr>
              <w:pStyle w:val="Compact"/>
            </w:pPr>
            <w:r>
              <w:t xml:space="preserve">35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34 884</w:t>
            </w:r>
          </w:p>
        </w:tc>
        <w:tc>
          <w:tcPr/>
          <w:p>
            <w:pPr>
              <w:pStyle w:val="Compact"/>
            </w:pPr>
            <w:r>
              <w:t xml:space="preserve">31 pantallas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Conteo del 20 de octubre de 2026 con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incluye pruebas y comentarios.</w:t>
      </w:r>
    </w:p>
    <w:bookmarkEnd w:id="31"/>
    <w:bookmarkStart w:id="35" w:name="X7c6b53ca0b7907277a297e399d68ce5dd24c8da"/>
    <w:p>
      <w:pPr>
        <w:pStyle w:val="Heading2"/>
      </w:pPr>
      <w:r>
        <w:t xml:space="preserve">2. Aplicación web</w:t>
      </w:r>
    </w:p>
    <w:p>
      <w:pPr>
        <w:pStyle w:val="FirstParagraph"/>
      </w:pPr>
      <w:r>
        <w:t xml:space="preserve">La web es una SPA de Angular 21 (Angular, s.f.) con componentes standalone, carga diferida de un módulo por rol y traducción a cuatro idiomas (es, en, fr, pt). Todas las llamadas salen por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que el servidor de desarrollo redirige al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482deabaa092faef1f13bab7b191e57340b4e5b"/>
    <w:p>
      <w:pPr>
        <w:pStyle w:val="Heading3"/>
      </w:pPr>
      <w:r>
        <w:t xml:space="preserve">2.1 Estructura</w:t>
      </w:r>
    </w:p>
    <w:p>
      <w:pPr>
        <w:pStyle w:val="FirstParagraph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Carpetas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(sesión y rol) y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(oculta login a quien ya tiene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agrega el JWT y cierra la sesión ante un 401 mientras la sesión sigue abierta (ignora un 401 tardío después de cerrar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servicios HTTP y de estado: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Interfaces de los DTO y utilidades (por ejemplo traducción de errores de la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Página pública: navbar, hero, quiénes somos, características, servicios, descarga, contacto, preguntas frecuentes y pie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registro y recuperación de contraseña en tres pasos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páginas del cliente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páginas del operario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páginas del administrador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Página de dirección no encontrada (ruta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Reporte de inspección de solo lectura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componentes reutilizables y 20 diálogos (confirmar, asignar operario, calificar, revisar pago, exportar…)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d3d37e2d1a716c76aa519d3cf06d126d1dd3678"/>
    <w:p>
      <w:pPr>
        <w:pStyle w:val="Heading3"/>
      </w:pPr>
      <w:r>
        <w:t xml:space="preserve">2.2 Dependencias principales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Librerías de la web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y CDK 21.2.14)</w:t>
            </w:r>
          </w:p>
        </w:tc>
        <w:tc>
          <w:tcPr/>
          <w:p>
            <w:pPr>
              <w:pStyle w:val="Compact"/>
            </w:pPr>
            <w:r>
              <w:t xml:space="preserve">Framework y componentes de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Gráficas del dashboard y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Exportar reportes a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(CDN de SheetJS), ^2.0.5</w:t>
            </w:r>
          </w:p>
        </w:tc>
        <w:tc>
          <w:tcPr/>
          <w:p>
            <w:pPr>
              <w:pStyle w:val="Compact"/>
            </w:pPr>
            <w:r>
              <w:t xml:space="preserve">Exportar a Excel y descargar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Íconos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(desarrollo)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Pruebas unitarias con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201367b02d5a855005742b8831d75f3192abdaa"/>
    <w:p>
      <w:pPr>
        <w:pStyle w:val="Heading3"/>
      </w:pPr>
      <w:r>
        <w:t xml:space="preserve">2.3 Compilar y ejecutar</w:t>
      </w:r>
    </w:p>
    <w:p>
      <w:pPr>
        <w:pStyle w:val="FirstParagraph"/>
      </w:pPr>
      <w:r>
        <w:t xml:space="preserve">Requisitos: Node.js 24 o una versión compatible con Angular 21, y npm 11 (</w:t>
      </w:r>
      <w:r>
        <w:rPr>
          <w:rStyle w:val="VerbatimChar"/>
        </w:rPr>
        <w:t xml:space="preserve">packageManager: npm@11.6.2</w:t>
      </w:r>
      <w:r>
        <w:t xml:space="preserve">). Para que las pantallas carguen datos, el backend debe estar arriba (sección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en http://localhost:4200, con proxy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build de producción en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pruebas unitarias (Vitest)</w:t>
      </w:r>
    </w:p>
    <w:p>
      <w:pPr>
        <w:pStyle w:val="FirstParagraph"/>
      </w:pPr>
      <w:r>
        <w:t xml:space="preserve">El proxy está en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y se activa en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El build de producción tiene presupuestos de tamaño: falla si el bundle inicial pasa de 1 MB o si el estilo de un componente pasa de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En producción,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se sirve con cualquier servidor estático que redirija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al gateway.</w:t>
      </w:r>
    </w:p>
    <w:p>
      <w:pPr>
        <w:pStyle w:val="BodyText"/>
      </w:pPr>
      <w:r>
        <w:t xml:space="preserve">Según el SRS v7 (RNF-008), la web debe funcionar en las versiones vigentes de Chrome, Firefox y Edge y ser usable desde 360 px de ancho.</w:t>
      </w:r>
    </w:p>
    <w:bookmarkEnd w:id="34"/>
    <w:bookmarkEnd w:id="35"/>
    <w:bookmarkStart w:id="40" w:name="Xa61b9ec4ec3dacb449b41bfbb9a983957d91bf3"/>
    <w:p>
      <w:pPr>
        <w:pStyle w:val="Heading2"/>
      </w:pPr>
      <w:r>
        <w:t xml:space="preserve">3. Aplicación móvil</w:t>
      </w:r>
    </w:p>
    <w:p>
      <w:pPr>
        <w:pStyle w:val="FirstParagraph"/>
      </w:pPr>
      <w:r>
        <w:t xml:space="preserve">La app móvil está hecha con Expo 57 sobre React Native 0.86 (Expo, s.f.; React Native, s.f.) y está dirigida a Android 8.0 o superior (RNF-008 del SRS v6). La versión web (</w:t>
      </w:r>
      <w:r>
        <w:rPr>
          <w:rStyle w:val="VerbatimChar"/>
        </w:rPr>
        <w:t xml:space="preserve">react-native-web</w:t>
      </w:r>
      <w:r>
        <w:t xml:space="preserve">) se usa solo para desarrollo y pruebas. Habla solo con el gateway y descubre sola la IP del computador que corre Expo, así que no hace falta configurar nada en una red local.</w:t>
      </w:r>
    </w:p>
    <w:bookmarkStart w:id="36" w:name="X3dc2209d8f6f3d01123456d6710bde2d18d6ce4"/>
    <w:p>
      <w:pPr>
        <w:pStyle w:val="Heading3"/>
      </w:pPr>
      <w:r>
        <w:t xml:space="preserve">3.1 Estructura</w:t>
      </w:r>
    </w:p>
    <w:p>
      <w:pPr>
        <w:pStyle w:val="FirstParagraph"/>
      </w:pPr>
      <w:r>
        <w:rPr>
          <w:b/>
          <w:bCs/>
        </w:rPr>
        <w:t xml:space="preserve">Tabla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con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y sincronización de preferencias de la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Contexto de tema, colores y tipografía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(URL del gateway y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para los enlaces públicos),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con JWT, JSON o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 </w:t>
            </w:r>
            <w:r>
              <w:t xml:space="preserve">y tiempo límite de 15 s o el que pida cada llamada),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(pantallas por rol) y tipos de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Sesión en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(en web, AsyncStorage)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Pantallas, componentes, modelos, hooks y viewmodels de cada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Layouts por rol, vistas compartidas (perfil, notificaciones, ajustes), validadores, componentes y utilidades</w:t>
            </w:r>
          </w:p>
        </w:tc>
      </w:tr>
    </w:tbl>
    <w:bookmarkEnd w:id="36"/>
    <w:bookmarkStart w:id="37" w:name="X228a03a7dc997707c7845c4a64ef090fcb011e7"/>
    <w:p>
      <w:pPr>
        <w:pStyle w:val="Heading3"/>
      </w:pPr>
      <w:r>
        <w:t xml:space="preserve">3.2 Dependencias principales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Librerías del móvil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Plataforma de compilación y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Navegación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Guardar la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Exportar reportes y adjuntar comprobantes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Tomar o elegir las fotos del informe de inspección y reducirlas antes de subirlas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Notificaciones push y actualizaciones por internet (OTA)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Gráficas y animaciones</w:t>
            </w:r>
          </w:p>
        </w:tc>
      </w:tr>
    </w:tbl>
    <w:bookmarkEnd w:id="37"/>
    <w:bookmarkStart w:id="38" w:name="X71055d947d8ce96db8a0d0d5123cc10c1e4fb05"/>
    <w:p>
      <w:pPr>
        <w:pStyle w:val="Heading3"/>
      </w:pPr>
      <w:r>
        <w:t xml:space="preserve">3.3 Configuración</w:t>
      </w:r>
    </w:p>
    <w:p>
      <w:pPr>
        <w:pStyle w:val="FirstParagraph"/>
      </w:pPr>
      <w:r>
        <w:t xml:space="preserve">La URL del backend se elige en este orden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si se define.</w:t>
      </w:r>
    </w:p>
    <w:p>
      <w:pPr>
        <w:pStyle w:val="Compact"/>
        <w:numPr>
          <w:ilvl w:val="0"/>
          <w:numId w:val="1001"/>
        </w:numPr>
      </w:pPr>
      <w:r>
        <w:t xml:space="preserve">La IP del computador que corre Expo (la misma con la que el celular abrió la app).</w:t>
      </w:r>
    </w:p>
    <w:p>
      <w:pPr>
        <w:pStyle w:val="Compact"/>
        <w:numPr>
          <w:ilvl w:val="0"/>
          <w:numId w:val="1001"/>
        </w:numPr>
      </w:pPr>
      <w:r>
        <w:t xml:space="preserve">Por plataforma: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en el emulador de Android y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en la versión web.</w:t>
      </w:r>
    </w:p>
    <w:p>
      <w:pPr>
        <w:pStyle w:val="FirstParagraph"/>
      </w:pPr>
      <w:r>
        <w:t xml:space="preserve">La plantilla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explica las variables opcionales;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no se sube al repositorio. El celular y el computador deben estar en la misma red wifi y el firewall debe permitir el puerto 8080.</w:t>
      </w:r>
    </w:p>
    <w:bookmarkEnd w:id="38"/>
    <w:bookmarkStart w:id="39" w:name="X15a9764ab66bd5044f1632c2d18058881f140aa"/>
    <w:p>
      <w:pPr>
        <w:pStyle w:val="Heading3"/>
      </w:pPr>
      <w:r>
        <w:t xml:space="preserve">3.4 Compilar y ejecutar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escanear el QR con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abre en emulador o dispositivo Android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versión web en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reiniciar limpiando caché tras cambiar .env.local</w:t>
      </w:r>
    </w:p>
    <w:p>
      <w:pPr>
        <w:pStyle w:val="FirstParagraph"/>
      </w:pPr>
      <w:r>
        <w:t xml:space="preserve">Para desarrollo la app se ejecuta con Expo Go. El APK se compila con EAS (</w:t>
      </w:r>
      <w:r>
        <w:rPr>
          <w:rStyle w:val="VerbatimChar"/>
        </w:rPr>
        <w:t xml:space="preserve">eas.json</w:t>
      </w:r>
      <w:r>
        <w:t xml:space="preserve">, perfiles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), y los scripts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publican un APK nuevo en el servidor o una actualización por internet (ver el Documento de Despliegue, carpeta 07).</w:t>
      </w:r>
    </w:p>
    <w:bookmarkEnd w:id="39"/>
    <w:bookmarkEnd w:id="40"/>
    <w:bookmarkStart w:id="41" w:name="X4deb6281dc7caee960d358b75926b04aa9e255a"/>
    <w:p>
      <w:pPr>
        <w:pStyle w:val="Heading2"/>
      </w:pPr>
      <w:r>
        <w:t xml:space="preserve">4. Backend del que dependen los clientes</w:t>
      </w:r>
    </w:p>
    <w:p>
      <w:pPr>
        <w:pStyle w:val="FirstParagraph"/>
      </w:pPr>
      <w:r>
        <w:t xml:space="preserve">La web y el móvil solo necesitan el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detrás deben estar arriba los seis servicios, SQL Server y, si se activan los eventos, RabbitMQ. Todo se levanta desde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con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completar secretos; el .env no se sube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solo SQL Server, Mailpit y RabbitMQ (servicios desde el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todo el backend en contenedores</w:t>
      </w:r>
    </w:p>
    <w:p>
      <w:pPr>
        <w:pStyle w:val="FirstParagraph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Variables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(sin valores)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(llamadas entre servicios y asignación automática),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(opcional) apaga solo la asignación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(y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en el compose)</w:t>
            </w:r>
          </w:p>
        </w:tc>
      </w:tr>
    </w:tbl>
    <w:p>
      <w:pPr>
        <w:pStyle w:val="BodyText"/>
      </w:pPr>
      <w:r>
        <w:t xml:space="preserve">Para correr un servicio Java desde la consola se usa su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dentro de la carpeta del servicio) con Java 21 (Spring, s.f.). payment-service se ejecuta con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y requiere el SDK de .NET 8 (Microsoft, s.f.). Al levantar con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las carpetas deben llamarse como sus repositorios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porque así las referencia el compose.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Puertos para verificar que todo está arriba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URL de verificación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y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(los dos revisan SQL Server y responden 503 si no contesta);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solo en entorno Development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Panel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Bandeja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Con todo arriba,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tiene tres tipos de scripts de Node 22: las 19 pruebas de punta a punta (</w:t>
      </w:r>
      <w:r>
        <w:rPr>
          <w:rStyle w:val="VerbatimChar"/>
        </w:rPr>
        <w:t xml:space="preserve">node --test "e2e/*.test.js"</w:t>
      </w:r>
      <w:r>
        <w:t xml:space="preserve">: flujo de reserva entre servicios, flujo completo de los tres roles, informe de inspección y reglas de acceso), la medición de tiempos de respuesta (</w:t>
      </w:r>
      <w:r>
        <w:rPr>
          <w:rStyle w:val="VerbatimChar"/>
        </w:rPr>
        <w:t xml:space="preserve">node e2e/performance.js</w:t>
      </w:r>
      <w:r>
        <w:t xml:space="preserve">) y la revisión de la web a 360 px de ancho (</w:t>
      </w:r>
      <w:r>
        <w:rPr>
          <w:rStyle w:val="VerbatimChar"/>
        </w:rPr>
        <w:t xml:space="preserve">node e2e/width-360.js</w:t>
      </w:r>
      <w:r>
        <w:t xml:space="preserve">, después de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Necesitan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(s.f.).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2026-10-20T20:43:01Z</dcterms:created>
  <dcterms:modified xsi:type="dcterms:W3CDTF">2026-10-20T20:43:01Z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