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svg" ContentType="image/svg+xml"/>
  <Override PartName="/word/media/rId76.svg" ContentType="image/svg+xml"/>
  <Override PartName="/word/media/rId57.png" ContentType="image/png"/>
  <Override PartName="/word/media/rId3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16 de octubre de 2026</w:t>
      </w:r>
    </w:p>
    <w:p>
      <w:pPr>
        <w:pStyle w:val="BodyText"/>
      </w:pPr>
      <w:r>
        <w:t xml:space="preserve">Tipo de manual: Manual técnico (desarrolladores y arquitectos de software) · Versión 4.0</w:t>
      </w:r>
    </w:p>
    <w:bookmarkStart w:id="20"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22"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24"/>
    <w:bookmarkStart w:id="25"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25"/>
    <w:bookmarkEnd w:id="26"/>
    <w:bookmarkStart w:id="29" w:name="X3b064709b715aa72af87e979a6f3d82392ca678"/>
    <w:p>
      <w:pPr>
        <w:pStyle w:val="Heading2"/>
      </w:pPr>
      <w:r>
        <w:t xml:space="preserve">6. Alcance Técnico</w:t>
      </w:r>
    </w:p>
    <w:bookmarkStart w:id="27"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27"/>
    <w:bookmarkStart w:id="28"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28"/>
    <w:bookmarkEnd w:id="29"/>
    <w:bookmarkStart w:id="36" w:name="X95d8c97275c8f81a939e1c762cd97d9839d709e"/>
    <w:p>
      <w:pPr>
        <w:pStyle w:val="Heading2"/>
      </w:pPr>
      <w:r>
        <w:t xml:space="preserve">7. Descripción General del Sistema</w:t>
      </w:r>
    </w:p>
    <w:bookmarkStart w:id="30"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30"/>
    <w:bookmarkStart w:id="34"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3667125"/>
            <wp:effectExtent b="0" l="0" r="0" t="0"/>
            <wp:docPr descr="Diagrama de contenedores del sistema Vehicle Washing" title="" id="32" name="Picture"/>
            <a:graphic>
              <a:graphicData uri="http://schemas.openxmlformats.org/drawingml/2006/picture">
                <pic:pic>
                  <pic:nvPicPr>
                    <pic:cNvPr descr="capturas/architectur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57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34"/>
    <w:bookmarkStart w:id="35"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35"/>
    <w:bookmarkEnd w:id="36"/>
    <w:bookmarkStart w:id="37"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w:t>
            </w:r>
          </w:p>
        </w:tc>
        <w:tc>
          <w:tcPr/>
          <w:p>
            <w:pPr>
              <w:pStyle w:val="Compact"/>
            </w:pPr>
            <w:r>
              <w:t xml:space="preserve">0.86.3, SDK 57, 19.2, 7, 26;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w:t>
            </w:r>
          </w:p>
        </w:tc>
        <w:tc>
          <w:tcPr/>
          <w:p>
            <w:pPr>
              <w:pStyle w:val="Compact"/>
            </w:pPr>
            <w:r>
              <w:t xml:space="preserve">Mediante el Maven Wrapper,</w:t>
            </w:r>
            <w:r>
              <w:t xml:space="preserve"> </w:t>
            </w:r>
            <w:r>
              <w:rPr>
                <w:i/>
                <w:iCs/>
              </w:rPr>
              <w:t xml:space="preserve">dotnet test</w:t>
            </w:r>
            <w:r>
              <w:t xml:space="preserve"> </w:t>
            </w:r>
            <w:r>
              <w:t xml:space="preserve">y</w:t>
            </w:r>
            <w:r>
              <w:t xml:space="preserve"> </w:t>
            </w:r>
            <w:r>
              <w:rPr>
                <w:i/>
                <w:iCs/>
              </w:rPr>
              <w:t xml:space="preserve">ng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w:t>
            </w:r>
            <w:r>
              <w:t xml:space="preserve"> </w:t>
            </w:r>
            <w:r>
              <w:rPr>
                <w:i/>
                <w:iCs/>
              </w:rPr>
              <w:t xml:space="preserve">develop</w:t>
            </w:r>
            <w:r>
              <w:t xml:space="preserve"> </w:t>
            </w:r>
            <w:r>
              <w:t xml:space="preserve">y</w:t>
            </w:r>
            <w:r>
              <w:t xml:space="preserve"> </w:t>
            </w:r>
            <w:r>
              <w:rPr>
                <w:i/>
                <w:iCs/>
              </w:rPr>
              <w:t xml:space="preserve">feature/*</w:t>
            </w:r>
          </w:p>
        </w:tc>
      </w:tr>
      <w:tr>
        <w:tc>
          <w:tcPr/>
          <w:p>
            <w:pPr>
              <w:pStyle w:val="Compact"/>
            </w:pPr>
            <w:r>
              <w:t xml:space="preserve">Integración continua</w:t>
            </w:r>
          </w:p>
        </w:tc>
        <w:tc>
          <w:tcPr/>
          <w:p>
            <w:pPr>
              <w:pStyle w:val="Compact"/>
            </w:pPr>
            <w:r>
              <w:t xml:space="preserve">Jenkins</w:t>
            </w:r>
          </w:p>
        </w:tc>
        <w:tc>
          <w:tcPr/>
          <w:p>
            <w:pPr>
              <w:pStyle w:val="Compact"/>
            </w:pPr>
            <w:r>
              <w:t xml:space="preserve">Planeada, no configurada (TD-006)</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37"/>
    <w:bookmarkStart w:id="50" w:name="Xcade969bd530bb91cbb218181cc2a6239e914ce"/>
    <w:p>
      <w:pPr>
        <w:pStyle w:val="Heading2"/>
      </w:pPr>
      <w:r>
        <w:t xml:space="preserve">9. Arquitectura del Sistema</w:t>
      </w:r>
    </w:p>
    <w:bookmarkStart w:id="38"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6</w:t>
            </w:r>
          </w:p>
        </w:tc>
        <w:tc>
          <w:tcPr/>
          <w:p>
            <w:pPr>
              <w:pStyle w:val="Compact"/>
            </w:pPr>
            <w:r>
              <w:t xml:space="preserve">Media: bandeja, consumo idempotente, push, correo, recordatorios y seguimiento de reservas para los avisos al personal.</w:t>
            </w:r>
          </w:p>
        </w:tc>
      </w:tr>
    </w:tbl>
    <w:p>
      <w:pPr>
        <w:pStyle w:val="BodyText"/>
      </w:pPr>
      <w:r>
        <w:rPr>
          <w:i/>
          <w:iCs/>
        </w:rPr>
        <w:t xml:space="preserve">Nota.</w:t>
      </w:r>
      <w:r>
        <w:t xml:space="preserve"> </w:t>
      </w:r>
      <w:r>
        <w:t xml:space="preserve">Total: 57 tablas, comprobado con una consulta a</w:t>
      </w:r>
      <w:r>
        <w:t xml:space="preserve"> </w:t>
      </w:r>
      <w:r>
        <w:rPr>
          <w:i/>
          <w:iCs/>
        </w:rPr>
        <w:t xml:space="preserve">sys.tables</w:t>
      </w:r>
      <w:r>
        <w:t xml:space="preserve"> </w:t>
      </w:r>
      <w:r>
        <w:t xml:space="preserve">el 16 de octubre de 2026. Fuente: changelogs de cada servicio.</w:t>
      </w:r>
    </w:p>
    <w:bookmarkEnd w:id="38"/>
    <w:bookmarkStart w:id="39"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valida tokens</w:t>
      </w:r>
      <w:r>
        <w:t xml:space="preserve">: cada servicio verifica el JWT por sí mismo (ADR-006). No tiene base de datos, caché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/api/v1/operator/bookings/*</w:t>
            </w:r>
          </w:p>
        </w:tc>
        <w:tc>
          <w:tcPr/>
          <w:p>
            <w:pPr>
              <w:pStyle w:val="Compact"/>
            </w:pPr>
            <w:r>
              <w:t xml:space="preserve">booking-service :3003</w:t>
            </w:r>
          </w:p>
        </w:tc>
      </w:tr>
      <w:tr>
        <w:tc>
          <w:tcPr/>
          <w:p>
            <w:pPr>
              <w:pStyle w:val="Compact"/>
            </w:pPr>
            <w:r>
              <w:t xml:space="preserve">/api/v1/admin/operators/*</w:t>
            </w:r>
            <w:r>
              <w:rPr>
                <w:i/>
                <w:iCs/>
              </w:rPr>
              <w:t xml:space="preserve">, /api/v1/admin/assignments/*</w:t>
            </w:r>
            <w:r>
              <w:t xml:space="preserve">, /api/v1/operator/services/*</w:t>
            </w:r>
            <w:r>
              <w:rPr>
                <w:i/>
                <w:iCs/>
              </w:rP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39"/>
    <w:bookmarkStart w:id="40"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40"/>
    <w:bookmarkStart w:id="43" w:name="Xa83801a3bf1c8870797ef0f75b1b528e24f16ef"/>
    <w:p>
      <w:pPr>
        <w:pStyle w:val="Heading3"/>
      </w:pPr>
      <w:r>
        <w:t xml:space="preserve">9.4 Comunicación entre Componentes</w:t>
      </w:r>
    </w:p>
    <w:bookmarkStart w:id="41"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y /internal/v1/bookings/{id}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41"/>
    <w:bookmarkStart w:id="42"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42"/>
    <w:bookmarkEnd w:id="43"/>
    <w:bookmarkStart w:id="49" w:name="X8ff6d818c42242ca0f555ab92df763b046e1d2b"/>
    <w:p>
      <w:pPr>
        <w:pStyle w:val="Heading3"/>
      </w:pPr>
      <w:r>
        <w:t xml:space="preserve">9.5 Aspectos Transversales</w:t>
      </w:r>
    </w:p>
    <w:bookmarkStart w:id="44"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44"/>
    <w:bookmarkStart w:id="45"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Cada caso de uso abre una transacción local que solo escribe los esquemas de su propio servicio; no hay transacciones distribuidas.</w:t>
      </w:r>
    </w:p>
    <w:bookmarkEnd w:id="45"/>
    <w:bookmarkStart w:id="46"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w:t>
            </w:r>
          </w:p>
        </w:tc>
      </w:tr>
      <w:tr>
        <w:tc>
          <w:tcPr/>
          <w:p>
            <w:pPr>
              <w:pStyle w:val="Compact"/>
            </w:pPr>
            <w:r>
              <w:t xml:space="preserve">401</w:t>
            </w:r>
          </w:p>
        </w:tc>
        <w:tc>
          <w:tcPr/>
          <w:p>
            <w:pPr>
              <w:pStyle w:val="Compact"/>
            </w:pPr>
            <w:r>
              <w:t xml:space="preserve">Autenticación ausente, no válida o vencida.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46"/>
    <w:bookmarkStart w:id="47"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47"/>
    <w:bookmarkStart w:id="48"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48"/>
    <w:bookmarkEnd w:id="49"/>
    <w:bookmarkEnd w:id="50"/>
    <w:bookmarkStart w:id="56" w:name="X6c6d0a25c1a26afb8672b5f4fb6ef91c6ca0e09"/>
    <w:p>
      <w:pPr>
        <w:pStyle w:val="Heading2"/>
      </w:pPr>
      <w:r>
        <w:t xml:space="preserve">10. Estructura del Proyecto</w:t>
      </w:r>
    </w:p>
    <w:bookmarkStart w:id="51"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51"/>
    <w:bookmarkStart w:id="52"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52"/>
    <w:bookmarkStart w:id="53"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53"/>
    <w:bookmarkStart w:id="54"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w:t>
      </w:r>
      <w:r>
        <w:br/>
      </w:r>
      <w:r>
        <w:rPr>
          <w:rStyle w:val="VerbatimChar"/>
        </w:rPr>
        <w:t xml:space="preserve">|   |   `-- services/   auth, booking-api, operations-api, payments-api, promotions-api,</w:t>
      </w:r>
      <w:r>
        <w:br/>
      </w:r>
      <w:r>
        <w:rPr>
          <w:rStyle w:val="VerbatimChar"/>
        </w:rPr>
        <w:t xml:space="preserve">|   |                   loyalty-api, role-permissions-api, notifications, vehicles,</w:t>
      </w:r>
      <w:r>
        <w:br/>
      </w:r>
      <w:r>
        <w:rPr>
          <w:rStyle w:val="VerbatimChar"/>
        </w:rPr>
        <w:t xml:space="preserve">|   |                   user-admin, preferences, inspection-store, photo-storage...</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bookmarkEnd w:id="54"/>
    <w:bookmarkStart w:id="55" w:name="Xaa6065e37e3accd9dc777cb8a13061544eef53b"/>
    <w:p>
      <w:pPr>
        <w:pStyle w:val="Heading3"/>
      </w:pPr>
      <w:r>
        <w:t xml:space="preserve">10.5 Estructura de la Aplicación Móvil</w:t>
      </w:r>
    </w:p>
    <w:p>
      <w:pPr>
        <w:pStyle w:val="FirstParagraph"/>
      </w:pPr>
      <w:r>
        <w:t xml:space="preserve">La aplicación móvil se organiza en</w:t>
      </w:r>
      <w:r>
        <w:t xml:space="preserve"> </w:t>
      </w:r>
      <w:r>
        <w:rPr>
          <w:i/>
          <w:iCs/>
        </w:rPr>
        <w:t xml:space="preserve">src/modules</w:t>
      </w:r>
      <w:r>
        <w:t xml:space="preserve"> </w:t>
      </w:r>
      <w:r>
        <w:t xml:space="preserve">por rol (</w:t>
      </w:r>
      <w:r>
        <w:rPr>
          <w:i/>
          <w:iCs/>
        </w:rPr>
        <w:t xml:space="preserve">auth</w:t>
      </w:r>
      <w:r>
        <w:t xml:space="preserve">,</w:t>
      </w:r>
      <w:r>
        <w:t xml:space="preserve"> </w:t>
      </w:r>
      <w:r>
        <w:rPr>
          <w:i/>
          <w:iCs/>
        </w:rPr>
        <w:t xml:space="preserve">client</w:t>
      </w:r>
      <w:r>
        <w:t xml:space="preserve">,</w:t>
      </w:r>
      <w:r>
        <w:t xml:space="preserve"> </w:t>
      </w:r>
      <w:r>
        <w:rPr>
          <w:i/>
          <w:iCs/>
        </w:rPr>
        <w:t xml:space="preserve">operator</w:t>
      </w:r>
      <w:r>
        <w:t xml:space="preserve"> </w:t>
      </w:r>
      <w:r>
        <w:t xml:space="preserve">y</w:t>
      </w:r>
      <w:r>
        <w:t xml:space="preserve"> </w:t>
      </w:r>
      <w:r>
        <w:rPr>
          <w:i/>
          <w:iCs/>
        </w:rPr>
        <w:t xml:space="preserve">admin</w:t>
      </w:r>
      <w:r>
        <w:t xml:space="preserve">, cada uno con sus</w:t>
      </w:r>
      <w:r>
        <w:t xml:space="preserve"> </w:t>
      </w:r>
      <w:r>
        <w:rPr>
          <w:i/>
          <w:iCs/>
        </w:rPr>
        <w:t xml:space="preserve">screens</w:t>
      </w:r>
      <w:r>
        <w:t xml:space="preserve">),</w:t>
      </w:r>
      <w:r>
        <w:t xml:space="preserve"> </w:t>
      </w:r>
      <w:r>
        <w:rPr>
          <w:i/>
          <w:iCs/>
        </w:rPr>
        <w:t xml:space="preserve">src/shared</w:t>
      </w:r>
      <w:r>
        <w:t xml:space="preserve"> </w:t>
      </w:r>
      <w:r>
        <w:t xml:space="preserve">(componentes y pantallas compartidas de notificaciones, perfil y configuración) y</w:t>
      </w:r>
      <w:r>
        <w:t xml:space="preserve"> </w:t>
      </w:r>
      <w:r>
        <w:rPr>
          <w:i/>
          <w:iCs/>
        </w:rPr>
        <w:t xml:space="preserve">src/app/config/locales</w:t>
      </w:r>
      <w:r>
        <w:t xml:space="preserve"> </w:t>
      </w:r>
      <w:r>
        <w:t xml:space="preserve">(es, en, fr y pt). Todas las llamadas van al gateway mediante</w:t>
      </w:r>
      <w:r>
        <w:t xml:space="preserve"> </w:t>
      </w:r>
      <w:r>
        <w:rPr>
          <w:i/>
          <w:iCs/>
        </w:rPr>
        <w:t xml:space="preserve">EXPO_PUBLIC_API_URL</w:t>
      </w:r>
      <w:r>
        <w:t xml:space="preserve">.</w:t>
      </w:r>
    </w:p>
    <w:bookmarkEnd w:id="55"/>
    <w:bookmarkEnd w:id="56"/>
    <w:bookmarkStart w:id="68"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57 tablas.</w:t>
      </w:r>
    </w:p>
    <w:bookmarkStart w:id="60"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58" name="Picture"/>
            <a:graphic>
              <a:graphicData uri="http://schemas.openxmlformats.org/drawingml/2006/picture">
                <pic:pic>
                  <pic:nvPicPr>
                    <pic:cNvPr descr="capturas/data-model.png" id="59" name="Picture"/>
                    <pic:cNvPicPr>
                      <a:picLocks noChangeArrowheads="1" noChangeAspect="1"/>
                    </pic:cNvPicPr>
                  </pic:nvPicPr>
                  <pic:blipFill>
                    <a:blip r:embed="rId57"/>
                    <a:stretch>
                      <a:fillRect/>
                    </a:stretch>
                  </pic:blipFill>
                  <pic:spPr bwMode="auto">
                    <a:xfrm>
                      <a:off x="0" y="0"/>
                      <a:ext cx="5334000" cy="3273742"/>
                    </a:xfrm>
                    <a:prstGeom prst="rect">
                      <a:avLst/>
                    </a:prstGeom>
                    <a:noFill/>
                    <a:ln w="9525">
                      <a:noFill/>
                      <a:headEnd/>
                      <a:tailEnd/>
                    </a:ln>
                  </pic:spPr>
                </pic:pic>
              </a:graphicData>
            </a:graphic>
          </wp:inline>
        </w:drawing>
      </w:r>
    </w:p>
    <w:bookmarkEnd w:id="60"/>
    <w:bookmarkStart w:id="64" w:name="X05abb2a0f7679380d57c0428f7d58bcbeae5d33"/>
    <w:p>
      <w:pPr>
        <w:pStyle w:val="Heading3"/>
      </w:pPr>
      <w:r>
        <w:t xml:space="preserve">11.2 Tablas Principales</w:t>
      </w:r>
    </w:p>
    <w:bookmarkStart w:id="61"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61"/>
    <w:bookmarkStart w:id="62"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62"/>
    <w:bookmarkStart w:id="63"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63"/>
    <w:bookmarkEnd w:id="64"/>
    <w:bookmarkStart w:id="65"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y 037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24 tipos (de cliente, de personal, de pago, de fidelización, de inspección, de reserva sin operario, de versión nueva de la app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65"/>
    <w:bookmarkStart w:id="66"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Solo el operario asignado inicia o finaliza; solo el día de la reserva; un servicio a la vez.</w:t>
            </w:r>
          </w:p>
        </w:tc>
        <w:tc>
          <w:tcPr/>
          <w:p>
            <w:pPr>
              <w:pStyle w:val="Compact"/>
            </w:pPr>
            <w:r>
              <w:t xml:space="preserve">operations-service.</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66"/>
    <w:bookmarkStart w:id="67"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a 109 semillas), salvo en payment-service, que usa su propia numeración 001 a 020 (TD-019). El número más alto de la numeración global es 030; el siguiente changeset compartido es el 031. La lista de changelogs de cada servicio está en el Manual de Instalación, sección 11.2.</w:t>
      </w:r>
    </w:p>
    <w:bookmarkEnd w:id="67"/>
    <w:bookmarkEnd w:id="68"/>
    <w:bookmarkStart w:id="80" w:name="X5336dbf235dc64b31da6708149e2e592fd888c8"/>
    <w:p>
      <w:pPr>
        <w:pStyle w:val="Heading2"/>
      </w:pPr>
      <w:r>
        <w:t xml:space="preserve">12. Módulos Técnicos</w:t>
      </w:r>
    </w:p>
    <w:bookmarkStart w:id="69"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69"/>
    <w:bookmarkStart w:id="70"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70"/>
    <w:bookmarkStart w:id="71"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w:t>
      </w:r>
      <w:r>
        <w:t xml:space="preserve"> </w:t>
      </w:r>
      <w:r>
        <w:rPr>
          <w:b/>
          <w:bCs/>
        </w:rPr>
        <w:t xml:space="preserve">Eventos:</w:t>
      </w:r>
      <w:r>
        <w:t xml:space="preserve"> </w:t>
      </w:r>
      <w:r>
        <w:t xml:space="preserve">publica BookingConfirmed (creada o reprogramada) y BookingCancelled.</w:t>
      </w:r>
    </w:p>
    <w:bookmarkEnd w:id="71"/>
    <w:bookmarkStart w:id="72"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e InspectionShared.</w:t>
      </w:r>
    </w:p>
    <w:bookmarkEnd w:id="72"/>
    <w:bookmarkStart w:id="73"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pago que reporta el cliente pasa directamente a IN_REVIEW con el monto declarado; una referencia de transacción reutilizada se rechaza;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bookmarkEnd w:id="73"/>
    <w:bookmarkStart w:id="74"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74"/>
    <w:bookmarkStart w:id="75"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y</w:t>
      </w:r>
      <w:r>
        <w:t xml:space="preserve"> </w:t>
      </w:r>
      <w:r>
        <w:rPr>
          <w:i/>
          <w:iCs/>
        </w:rPr>
        <w:t xml:space="preserve">api-error</w:t>
      </w:r>
      <w:r>
        <w:t xml:space="preserve"> </w:t>
      </w:r>
      <w:r>
        <w:t xml:space="preserve">traduce los códigos de error.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w:t>
      </w:r>
    </w:p>
    <w:bookmarkEnd w:id="75"/>
    <w:bookmarkStart w:id="79"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drawing>
          <wp:inline>
            <wp:extent cx="5334000" cy="2580967"/>
            <wp:effectExtent b="0" l="0" r="0" t="0"/>
            <wp:docPr descr="Diagrama de estados de la reserva" title="" id="77" name="Picture"/>
            <a:graphic>
              <a:graphicData uri="http://schemas.openxmlformats.org/drawingml/2006/picture">
                <pic:pic>
                  <pic:nvPicPr>
                    <pic:cNvPr descr="capturas/booking-state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p>
    <w:bookmarkEnd w:id="79"/>
    <w:bookmarkEnd w:id="80"/>
    <w:bookmarkStart w:id="87"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81"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81"/>
    <w:bookmarkStart w:id="82"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antes de su vencimiento (Jones et al., 2015); cerrar la sesión solo cierra el registro de la sesión. Todo servicio valida la firma, el emisor y la audiencia con el mismo secreto.</w:t>
      </w:r>
    </w:p>
    <w:bookmarkEnd w:id="82"/>
    <w:bookmarkStart w:id="84"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83"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83"/>
    <w:bookmarkEnd w:id="84"/>
    <w:bookmarkStart w:id="85"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PaymentConfirmed, PaymentRejected, PaymentRefunded</w:t>
            </w:r>
          </w:p>
        </w:tc>
        <w:tc>
          <w:tcPr/>
          <w:p>
            <w:pPr>
              <w:pStyle w:val="Compact"/>
            </w:pPr>
            <w:r>
              <w:t xml:space="preserve">payment.confirmed, 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notification-service (enlazado)</w:t>
            </w:r>
          </w:p>
        </w:tc>
        <w:tc>
          <w:tcPr/>
          <w:p>
            <w:pPr>
              <w:pStyle w:val="Compact"/>
            </w:pPr>
            <w:r>
              <w:t xml:space="preserve">No publicado</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w:t>
      </w:r>
    </w:p>
    <w:bookmarkEnd w:id="85"/>
    <w:bookmarkStart w:id="86"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w:t>
      </w:r>
    </w:p>
    <w:bookmarkEnd w:id="86"/>
    <w:bookmarkEnd w:id="87"/>
    <w:bookmarkStart w:id="95"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88"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w:t>
            </w:r>
          </w:p>
        </w:tc>
      </w:tr>
      <w:tr>
        <w:tc>
          <w:tcPr/>
          <w:p>
            <w:pPr>
              <w:pStyle w:val="Compact"/>
            </w:pPr>
            <w:r>
              <w:t xml:space="preserve">Revocación</w:t>
            </w:r>
          </w:p>
        </w:tc>
        <w:tc>
          <w:tcPr/>
          <w:p>
            <w:pPr>
              <w:pStyle w:val="Compact"/>
            </w:pPr>
            <w:r>
              <w:t xml:space="preserve">Un token sigue siendo válido hasta que vence (riesgo aceptado de ADR-006).</w:t>
            </w:r>
          </w:p>
        </w:tc>
      </w:tr>
    </w:tbl>
    <w:p>
      <w:pPr>
        <w:pStyle w:val="BodyText"/>
      </w:pPr>
      <w:r>
        <w:rPr>
          <w:i/>
          <w:iCs/>
        </w:rPr>
        <w:t xml:space="preserve">Nota.</w:t>
      </w:r>
      <w:r>
        <w:t xml:space="preserve"> </w:t>
      </w:r>
      <w:r>
        <w:t xml:space="preserve">Fuente: configuración y código de security-service y ADR-006.</w:t>
      </w:r>
    </w:p>
    <w:bookmarkEnd w:id="88"/>
    <w:bookmarkStart w:id="89"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89"/>
    <w:bookmarkStart w:id="90"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90"/>
    <w:bookmarkStart w:id="91"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91"/>
    <w:bookmarkStart w:id="92"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pendiente en el despliegue)</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bloqueo temporal por intentos fallidos; sin límite de solicitudes en el gateway.</w:t>
            </w:r>
          </w:p>
        </w:tc>
        <w:tc>
          <w:tcPr/>
          <w:p>
            <w:pPr>
              <w:pStyle w:val="Compact"/>
            </w:pPr>
            <w:r>
              <w:t xml:space="preserve">Parcial</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92"/>
    <w:bookmarkStart w:id="93"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93"/>
    <w:bookmarkStart w:id="94" w:name="X7c4f5e5cd0694e75a491bdca6076753b0ac3a9b"/>
    <w:p>
      <w:pPr>
        <w:pStyle w:val="Heading3"/>
      </w:pPr>
      <w:r>
        <w:t xml:space="preserve">14.7 Riesgos Aceptados</w:t>
      </w:r>
    </w:p>
    <w:p>
      <w:pPr>
        <w:pStyle w:val="Compact"/>
        <w:numPr>
          <w:ilvl w:val="0"/>
          <w:numId w:val="1023"/>
        </w:numPr>
      </w:pPr>
      <w:r>
        <w:t xml:space="preserve">Imposibilidad de revocar un JWT antes de su vencimiento.</w:t>
      </w:r>
    </w:p>
    <w:p>
      <w:pPr>
        <w:pStyle w:val="Compact"/>
        <w:numPr>
          <w:ilvl w:val="0"/>
          <w:numId w:val="1023"/>
        </w:numPr>
      </w:pPr>
      <w:r>
        <w:t xml:space="preserve">Firma simétrica HS256 con un secreto compartido entre servicios.</w:t>
      </w:r>
    </w:p>
    <w:p>
      <w:pPr>
        <w:pStyle w:val="Compact"/>
        <w:numPr>
          <w:ilvl w:val="0"/>
          <w:numId w:val="1023"/>
        </w:numPr>
      </w:pPr>
      <w:r>
        <w:t xml:space="preserve">Sin límite de solicitudes en el gateway; el bloqueo de cuentas solo frena los intentos sobre una misma cuenta.</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94"/>
    <w:bookmarkEnd w:id="95"/>
    <w:bookmarkStart w:id="99" w:name="Xb0d403725a415abf60be976e765e65d012012d4"/>
    <w:p>
      <w:pPr>
        <w:pStyle w:val="Heading2"/>
      </w:pPr>
      <w:r>
        <w:t xml:space="preserve">15. Control de Versiones</w:t>
      </w:r>
    </w:p>
    <w:bookmarkStart w:id="96"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 </w:t>
      </w:r>
      <w:r>
        <w:t xml:space="preserve">o</w:t>
      </w:r>
      <w:r>
        <w:t xml:space="preserve"> </w:t>
      </w:r>
      <w:r>
        <w:rPr>
          <w:i/>
          <w:iCs/>
        </w:rPr>
        <w:t xml:space="preserve">feat/*</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y, en el momento de esta revisión, está detrás de</w:t>
      </w:r>
      <w:r>
        <w:t xml:space="preserve"> </w:t>
      </w:r>
      <w:r>
        <w:rPr>
          <w:i/>
          <w:iCs/>
        </w:rPr>
        <w:t xml:space="preserve">develop</w:t>
      </w:r>
      <w:r>
        <w:t xml:space="preserve"> </w:t>
      </w:r>
      <w:r>
        <w:t xml:space="preserve">en los servicios del backend.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96"/>
    <w:bookmarkStart w:id="97"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97"/>
    <w:bookmarkStart w:id="98"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98"/>
    <w:bookmarkEnd w:id="99"/>
    <w:bookmarkStart w:id="108" w:name="X691387749e89fa9fb1df46fcccbad5749f40988"/>
    <w:p>
      <w:pPr>
        <w:pStyle w:val="Heading2"/>
      </w:pPr>
      <w:r>
        <w:t xml:space="preserve">16. Recomendaciones de Mantenimiento</w:t>
      </w:r>
    </w:p>
    <w:bookmarkStart w:id="100"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100"/>
    <w:bookmarkStart w:id="101"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w:t>
      </w:r>
    </w:p>
    <w:bookmarkEnd w:id="101"/>
    <w:bookmarkStart w:id="102"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102"/>
    <w:bookmarkStart w:id="103"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040.</w:t>
      </w:r>
    </w:p>
    <w:p>
      <w:pPr>
        <w:pStyle w:val="Compact"/>
        <w:numPr>
          <w:ilvl w:val="0"/>
          <w:numId w:val="1025"/>
        </w:numPr>
      </w:pPr>
      <w:r>
        <w:t xml:space="preserve">El siguiente changeset de la numeración global es el 031.</w:t>
      </w:r>
    </w:p>
    <w:bookmarkEnd w:id="103"/>
    <w:bookmarkStart w:id="104"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El 16 de octubre de 2026 se ejecutaron todas las pruebas con estos resultados: 639 pruebas unitarias y de integración aprobadas (web 43, gateway 34, security-service 147, customer-service 68, booking-service 40, operations-service 54, notification-service 112 y payment-service 141, con 7 omitidas a propósito) y 19 de 19 pruebas de punta a punta aprobadas contra los contenedores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104"/>
    <w:bookmarkStart w:id="105"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o JWT_SECRET, emisor o audiencia distintos.</w:t>
            </w:r>
          </w:p>
        </w:tc>
        <w:tc>
          <w:tcPr/>
          <w:p>
            <w:pPr>
              <w:pStyle w:val="Compact"/>
            </w:pPr>
            <w:r>
              <w:t xml:space="preserve">Ingresar de nuevo; verificar el archivo .env.</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105"/>
    <w:bookmarkStart w:id="106"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TD-006</w:t>
            </w:r>
          </w:p>
        </w:tc>
        <w:tc>
          <w:tcPr/>
          <w:p>
            <w:pPr>
              <w:pStyle w:val="Compact"/>
            </w:pPr>
            <w:r>
              <w:t xml:space="preserve">Canalización de Jenkins por repositorio.</w:t>
            </w:r>
          </w:p>
        </w:tc>
        <w:tc>
          <w:tcPr/>
          <w:p>
            <w:pPr>
              <w:pStyle w:val="Compact"/>
            </w:pPr>
            <w:r>
              <w:t xml:space="preserve">Media</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w:t>
      </w:r>
    </w:p>
    <w:bookmarkEnd w:id="106"/>
    <w:bookmarkStart w:id="107"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107"/>
    <w:bookmarkEnd w:id="108"/>
    <w:bookmarkStart w:id="109"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valida tokens.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109"/>
    <w:bookmarkStart w:id="122"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110">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11">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12">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13">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114">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115">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16">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17">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18">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19">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20">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21">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22"/>
    <w:bookmarkStart w:id="126" w:name="X2e3e49dda673ee34f20c24c82b99ea2a956b06e"/>
    <w:p>
      <w:pPr>
        <w:pStyle w:val="Heading2"/>
      </w:pPr>
      <w:r>
        <w:t xml:space="preserve">18. Anexos</w:t>
      </w:r>
    </w:p>
    <w:bookmarkStart w:id="123"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tal como existen. Ninguna figura contiene secretos ni datos personales.</w:t>
      </w:r>
    </w:p>
    <w:bookmarkEnd w:id="123"/>
    <w:bookmarkStart w:id="124"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valida tokens; lo hace cada servicio.</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24"/>
    <w:bookmarkStart w:id="125"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svg" /><Relationship Type="http://schemas.openxmlformats.org/officeDocument/2006/relationships/image" Id="rId76" Target="media/rId76.svg" /><Relationship Type="http://schemas.openxmlformats.org/officeDocument/2006/relationships/image" Id="rId57" Target="media/rId57.png" /><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111" Target="http://www.secretariasenado.gov.co/senado/basedoc/ley_1581_2012.html" TargetMode="External" /><Relationship Type="http://schemas.openxmlformats.org/officeDocument/2006/relationships/hyperlink" Id="rId110" Target="https://alistair.cockburn.us/hexagonal-architecture/" TargetMode="External" /><Relationship Type="http://schemas.openxmlformats.org/officeDocument/2006/relationships/hyperlink" Id="rId113" Target="https://github.com/BrayanCABRERA123/Front-end-proyecto-web" TargetMode="External" /><Relationship Type="http://schemas.openxmlformats.org/officeDocument/2006/relationships/hyperlink" Id="rId115" Target="https://github.com/BrayanCABRERA123/lavarapido-infra" TargetMode="External" /><Relationship Type="http://schemas.openxmlformats.org/officeDocument/2006/relationships/hyperlink" Id="rId117" Target="https://github.com/BrayanCABRERA123/lavarapido-security-service" TargetMode="External" /><Relationship Type="http://schemas.openxmlformats.org/officeDocument/2006/relationships/hyperlink" Id="rId114" Target="https://github.com/camiloguilombo12/lavarapido-customer-service" TargetMode="External" /><Relationship Type="http://schemas.openxmlformats.org/officeDocument/2006/relationships/hyperlink" Id="rId112" Target="https://github.com/code-sena/vehicle-w-docs" TargetMode="External" /><Relationship Type="http://schemas.openxmlformats.org/officeDocument/2006/relationships/hyperlink" Id="rId116" Target="https://github.com/merari0322/lavarapido-payment-service" TargetMode="External" /><Relationship Type="http://schemas.openxmlformats.org/officeDocument/2006/relationships/hyperlink" Id="rId118" Target="https://ics.uci.edu/~fielding/pubs/dissertation/top.htm" TargetMode="External" /><Relationship Type="http://schemas.openxmlformats.org/officeDocument/2006/relationships/hyperlink" Id="rId121" Target="https://owasp.org/Top10/" TargetMode="External" /><Relationship Type="http://schemas.openxmlformats.org/officeDocument/2006/relationships/hyperlink" Id="rId119" Target="https://www.rfc-editor.org/rfc/rfc7519" TargetMode="External" /><Relationship Type="http://schemas.openxmlformats.org/officeDocument/2006/relationships/hyperlink" Id="rId12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2026-10-17T01:19:14Z</dcterms:created>
  <dcterms:modified xsi:type="dcterms:W3CDTF">2026-10-17T01:19:14Z</dcterms:modified>
</cp:coreProperties>
</file>

<file path=docProps/custom.xml><?xml version="1.0" encoding="utf-8"?>
<Properties xmlns="http://schemas.openxmlformats.org/officeDocument/2006/custom-properties" xmlns:vt="http://schemas.openxmlformats.org/officeDocument/2006/docPropsVTypes"/>
</file>