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svg" ContentType="image/svg+xml"/>
  <Override PartName="/word/media/rId38.svg" ContentType="image/svg+xml"/>
  <Override PartName="/word/media/rId97.svg" ContentType="image/svg+xml"/>
  <Override PartName="/word/media/rId42.svg" ContentType="image/svg+xml"/>
  <Override PartName="/word/media/rId93.svg" ContentType="image/svg+xml"/>
  <Override PartName="/word/media/rId38.svg" ContentType="image/svg+xml"/>
  <Override PartName="/word/media/rId97.svg" ContentType="image/svg+xml"/>
  <Override PartName="/word/media/rId42.svg" ContentType="image/svg+xml"/>
  <Override PartName="/word/media/rId93.png" ContentType="image/png"/>
  <Override PartName="/word/media/rId38.png" ContentType="image/png"/>
  <Override PartName="/word/media/rId97.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rPr>
          <w:b/>
          <w:bCs/>
        </w:rPr>
        <w:t xml:space="preserve">Brayan Estiven Patiño Cabrera</w:t>
      </w:r>
      <w:r>
        <w:t xml:space="preserve"> </w:t>
      </w:r>
      <w:r>
        <w:t xml:space="preserve">— Servicio Nacional de Aprendizaje (SENA), Regional Huila, Colombia</w:t>
      </w:r>
      <w:r>
        <w:br/>
      </w:r>
      <w:r>
        <w:rPr>
          <w:b/>
          <w:bCs/>
        </w:rPr>
        <w:t xml:space="preserve">Juan Camilo Guilombo Osorio</w:t>
      </w:r>
      <w:r>
        <w:t xml:space="preserve"> </w:t>
      </w:r>
      <w:r>
        <w:t xml:space="preserve">— Servicio Nacional de Aprendizaje (SENA), Regional Huila, Colombia</w:t>
      </w:r>
      <w:r>
        <w:br/>
      </w:r>
      <w:r>
        <w:rPr>
          <w:b/>
          <w:bCs/>
        </w:rPr>
        <w:t xml:space="preserve">Merari Urbano Quintero</w:t>
      </w:r>
      <w:r>
        <w:t xml:space="preserve"> </w:t>
      </w:r>
      <w:r>
        <w:t xml:space="preserve">— Servicio Nacional de Aprendizaje (SENA), Regional Huila, Colombia</w:t>
      </w:r>
    </w:p>
    <w:p>
      <w:pPr>
        <w:pStyle w:val="BodyText"/>
      </w:pPr>
      <w:r>
        <w:rPr>
          <w:i/>
          <w:iCs/>
        </w:rPr>
        <w:t xml:space="preserve">Tecnólogo en Análisis y Desarrollo de Software (ADSO), ficha 3145556. Instructora: Karol Daniela Correa. 16 de octubre de 2026.</w:t>
      </w:r>
    </w:p>
    <w:p>
      <w:pPr>
        <w:pStyle w:val="BodyText"/>
      </w:pPr>
      <w:r>
        <w:rPr>
          <w:b/>
          <w:bCs/>
        </w:rPr>
        <w:t xml:space="preserve">Resumen.</w:t>
      </w:r>
      <w:r>
        <w:t xml:space="preserve"> </w:t>
      </w:r>
      <w: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16 de octubre de 2026, 40 de los 41 requisitos funcionales estaban implementados y 1 era parcial. Ese día se ejecutaron 639 pruebas automatizadas, todas aprobadas (7 de persistencia quedaron omitidas porque necesitan una base de pruebas dedicada), y 19 pruebas de punta a punta contra el sistema completo en Docker, también aprobadas. El sistema corre además en un servidor público en Azure. Desde el 19 de octubre de 2026, cada repositorio compila y corre sus pruebas con GitHub Actions en cada cambio. Quedan pendientes los reportes consolidados y un límite de solicitudes en el gateway. Los beneficios operativos siguen siendo una hipótesis, porque no se han medido con personas usuarias reales.</w:t>
      </w:r>
    </w:p>
    <w:p>
      <w:pPr>
        <w:pStyle w:val="BodyText"/>
      </w:pPr>
      <w:r>
        <w:rPr>
          <w:b/>
          <w:bCs/>
        </w:rPr>
        <w:t xml:space="preserve">Palabras clave:</w:t>
      </w:r>
      <w:r>
        <w:t xml:space="preserve"> </w:t>
      </w:r>
      <w:r>
        <w:t xml:space="preserve">microservicios, arquitectura hexagonal, sistema de reservas, lavado vehicular, pagos con código QR, documentación de diseño de software</w:t>
      </w:r>
    </w:p>
    <w:bookmarkStart w:id="24" w:name="X0e2973c2e3c317285bf344b2034a52754788c6d"/>
    <w:p>
      <w:pPr>
        <w:pStyle w:val="Heading2"/>
      </w:pPr>
      <w:r>
        <w:t xml:space="preserve">1. Introducción</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0" w:name="X1abb4a35b52bba8fd91b7674b2b768a3baa50d0"/>
    <w:p>
      <w:pPr>
        <w:pStyle w:val="Heading3"/>
      </w:pPr>
      <w:r>
        <w:t xml:space="preserve">1.1. 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[Guilombo Osorio et al. 2026].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[Equipo de Desarrollo Vehicle Washing 2026b].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[Equipo de Desarrollo Vehicle Washing 2026b].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0"/>
    <w:bookmarkStart w:id="21" w:name="X5ac329db4b54135b5a51f5a6e7aa40af5a8128c"/>
    <w:p>
      <w:pPr>
        <w:pStyle w:val="Heading3"/>
      </w:pPr>
      <w:r>
        <w:t xml:space="preserve">1.2. 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[Equipo de Desarrollo Vehicle Washing 2026b].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[Congreso de la República de Colombia 2012],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1"/>
    <w:bookmarkStart w:id="22" w:name="Xf75571a85dfa7bc1c38d5cb0ac324d03e00f515"/>
    <w:p>
      <w:pPr>
        <w:pStyle w:val="Heading3"/>
      </w:pPr>
      <w:r>
        <w:t xml:space="preserve">1.3. Objetivos</w:t>
      </w:r>
    </w:p>
    <w:p>
      <w:pPr>
        <w:pStyle w:val="FirstParagraph"/>
      </w:pPr>
      <w:r>
        <w:t xml:space="preserve">Los objetivos vigentes del proyecto están en la versión 7.0 de la SRS [Guilombo Osorio et al. 2026].</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2"/>
    <w:bookmarkStart w:id="23" w:name="Xe4f239e686e2f8b6ea73e3ba7a5513215dd5053"/>
    <w:p>
      <w:pPr>
        <w:pStyle w:val="Heading3"/>
      </w:pPr>
      <w:r>
        <w:t xml:space="preserve">1.4. 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[Patiño Cabrera et al. 2025].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[Guilombo Osorio et al. 2026].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3"/>
    <w:bookmarkEnd w:id="24"/>
    <w:bookmarkStart w:id="30" w:name="X1d573109f5b13e06937acd09ed51397714a8794"/>
    <w:p>
      <w:pPr>
        <w:pStyle w:val="Heading2"/>
      </w:pPr>
      <w:r>
        <w:t xml:space="preserve">2. 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5" w:name="Xf06e19d4f63c00e1dddb7a193338e9f82f72b6a"/>
    <w:p>
      <w:pPr>
        <w:pStyle w:val="Heading3"/>
      </w:pPr>
      <w:r>
        <w:t xml:space="preserve">2.1. 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[Newman 2021]. Este estilo facilita que cada parte evolucione por separado, pero introduce problemas propios de los sistemas distribuidos, como la consistencia entre servicios y la publicación confiable de eventos, para los que existen patrones como Saga y Outbox [Richardson 2018]. Elegir qué patrones adoptar, y documentar por qué se descartan otros, es parte del diseño.</w:t>
      </w:r>
    </w:p>
    <w:bookmarkEnd w:id="25"/>
    <w:bookmarkStart w:id="26" w:name="X300531460f4e257a5a9387989d7c94537266780"/>
    <w:p>
      <w:pPr>
        <w:pStyle w:val="Heading3"/>
      </w:pPr>
      <w:r>
        <w:t xml:space="preserve">2.2. 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[Evans 2004]. La arquitectura hexagonal, o de puertos y adaptadores, complementa esa idea: el núcleo de la aplicación no depende de la base de datos, del framework ni de la mensajería, que se conectan mediante adaptadores [Cockburn 2005]. La combinación permite probar las reglas del negocio sin infraestructura.</w:t>
      </w:r>
    </w:p>
    <w:bookmarkEnd w:id="26"/>
    <w:bookmarkStart w:id="27" w:name="X8bb9dfafeb59dc5594de4ae4cb41a4888c98fce"/>
    <w:p>
      <w:pPr>
        <w:pStyle w:val="Heading3"/>
      </w:pPr>
      <w:r>
        <w:t xml:space="preserve">2.3. Integración Síncrona y Asíncrona</w:t>
      </w:r>
    </w:p>
    <w:p>
      <w:pPr>
        <w:pStyle w:val="FirstParagraph"/>
      </w:pPr>
      <w:r>
        <w:t xml:space="preserve">Las interfaces externas del sistema siguen el estilo arquitectónico REST [Fielding 2000], y sus errores se expresan con el formato estándar</w:t>
      </w:r>
      <w:r>
        <w:t xml:space="preserve"> </w:t>
      </w:r>
      <w:r>
        <w:rPr>
          <w:i/>
          <w:iCs/>
        </w:rPr>
        <w:t xml:space="preserve">Problem Details for HTTP APIs</w:t>
      </w:r>
      <w:r>
        <w:t xml:space="preserve"> </w:t>
      </w:r>
      <w:r>
        <w:t xml:space="preserve">[Nottingham et al. 2023]. Para el trabajo que puede ocurrir después de una transacción, como enviar una notificación, se usa mensajería de publicación y suscripción, en la que un emisor publica un evento sin conocer a sus consumidores [Hohpe and Woolf 2003].</w:t>
      </w:r>
    </w:p>
    <w:bookmarkEnd w:id="27"/>
    <w:bookmarkStart w:id="28" w:name="Xdd0cfa2ecfbd3a5dbfc2ae8b7cb2c03b8b19265"/>
    <w:p>
      <w:pPr>
        <w:pStyle w:val="Heading3"/>
      </w:pPr>
      <w:r>
        <w:t xml:space="preserve">2.4. Seguridad de la Aplicación</w:t>
      </w:r>
    </w:p>
    <w:p>
      <w:pPr>
        <w:pStyle w:val="FirstParagraph"/>
      </w:pPr>
      <w:r>
        <w:t xml:space="preserve">La autenticación sin estado se apoya en JSON Web Tokens (JWT), tokens firmados que transportan la identidad y los roles de la persona usuaria [Jones et al. 2015]. Las contraseñas se almacenan con BCrypt, una función de derivación con costo ajustable [Provos and Mazières 1999]. La lista OWASP Top 10 sirve como referencia para revisar los riesgos más comunes de las aplicaciones web [OWASP Foundation 2021].</w:t>
      </w:r>
    </w:p>
    <w:bookmarkEnd w:id="28"/>
    <w:bookmarkStart w:id="29" w:name="X6ee5b7222617e1ba7acbf06c4cdea7b6677c303"/>
    <w:p>
      <w:pPr>
        <w:pStyle w:val="Heading3"/>
      </w:pPr>
      <w:r>
        <w:t xml:space="preserve">2.5. Gestión de la Calidad del Software</w:t>
      </w:r>
    </w:p>
    <w:p>
      <w:pPr>
        <w:pStyle w:val="FirstParagraph"/>
      </w:pPr>
      <w:r>
        <w:t xml:space="preserve">El proyecto toma como marco de sus acciones correctivas, preventivas y de mejora los procesos de mantenimiento y aseguramiento de la calidad de la ISO/IEC/IEEE 12207 [ISO et al. 2017], los tipos de mantenimiento de la ISO/IEC/IEEE 14764 [ISO et al. 2022] y la mejora continua de la ISO 9001 [ISO 2015].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[Nygard 2011], y las pruebas se escriben siguiendo el desarrollo guiado por pruebas [Beck 2003]. La investigación sobre desempeño en la entrega de software asocia la integración continua y la automatización de pruebas con mejores resultados de entrega [Forsgren et al. 2018].</w:t>
      </w:r>
    </w:p>
    <w:bookmarkEnd w:id="29"/>
    <w:bookmarkEnd w:id="30"/>
    <w:bookmarkStart w:id="37" w:name="X62a4cddba2de99e84e40798804ede4c429b33ec"/>
    <w:p>
      <w:pPr>
        <w:pStyle w:val="Heading2"/>
      </w:pPr>
      <w:r>
        <w:t xml:space="preserve">3. Método</w:t>
      </w:r>
    </w:p>
    <w:bookmarkStart w:id="31" w:name="X7e5047aba25b852a832b3cf3000a4a86e5564bd"/>
    <w:p>
      <w:pPr>
        <w:pStyle w:val="Heading3"/>
      </w:pPr>
      <w:r>
        <w:t xml:space="preserve">3.1. 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[Patiño Cabrera et al. 2026a; Patiño Cabrera et al. 2026b]. La SRS, en su versión 7.0, sigue la estructura de IEEE 830 [IEEE 1998] y los contenidos de ISO/IEC/IEEE 29148 [ISO/IEC/IEEE 2018], y define 41 requisitos funcionales, 12 requisitos no funcionales clasificados según el modelo de calidad de ISO/IEC 25010 [ISO/IEC 2023], 30 casos de uso y una matriz de trazabilidad con el estado de cada requisito [Guilombo Osorio et al. 2026].</w:t>
      </w:r>
    </w:p>
    <w:bookmarkEnd w:id="31"/>
    <w:bookmarkStart w:id="32" w:name="Xc7aef20afb5f3f5b7e158d2667e663284ce2f94"/>
    <w:p>
      <w:pPr>
        <w:pStyle w:val="Heading3"/>
      </w:pPr>
      <w:r>
        <w:t xml:space="preserve">3.2. 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[Equipo de Desarrollo Vehicle Washing 2026b].</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[Equipo de Desarrollo Vehicle Washing 2026b] (véase el Apéndice).</w:t>
      </w:r>
    </w:p>
    <w:bookmarkEnd w:id="32"/>
    <w:bookmarkStart w:id="33" w:name="Xfca14850ce9f204c8e06a79945a3d926cb6f2ac"/>
    <w:p>
      <w:pPr>
        <w:pStyle w:val="Heading3"/>
      </w:pPr>
      <w:r>
        <w:t xml:space="preserve">3.3. 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[Equipo de Desarrollo Vehicle Washing 2026b].</w:t>
      </w:r>
    </w:p>
    <w:p>
      <w:pPr>
        <w:pStyle w:val="BodyText"/>
      </w:pPr>
      <w:r>
        <w:t xml:space="preserve">La gestión del trabajo adaptó prácticas de Scrum [Schwaber and Sutherland 2020] al calendario académico. La instructora técnica actuó como</w:t>
      </w:r>
      <w:r>
        <w:t xml:space="preserve"> </w:t>
      </w:r>
      <w:r>
        <w:rPr>
          <w:i/>
          <w:iCs/>
        </w:rPr>
        <w:t xml:space="preserve">Product Owner</w:t>
      </w:r>
      <w:r>
        <w:t xml:space="preserve"> </w:t>
      </w:r>
      <w:r>
        <w:t xml:space="preserve">y aprobaron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[Equipo de Desarrollo Vehicle Washing 2026a].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3"/>
    <w:bookmarkStart w:id="34" w:name="Xf09e2edf0e297b219bd4573c34f928f11c3a1eb"/>
    <w:p>
      <w:pPr>
        <w:pStyle w:val="Heading3"/>
      </w:pPr>
      <w:r>
        <w:t xml:space="preserve">3.4. 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[Patiño Cabrera et al. 2026b].</w:t>
      </w:r>
    </w:p>
    <w:p>
      <w:pPr>
        <w:pStyle w:val="Compact"/>
        <w:numPr>
          <w:ilvl w:val="0"/>
          <w:numId w:val="1002"/>
        </w:numPr>
      </w:pPr>
      <w:r>
        <w:t xml:space="preserve">Un registro de acciones correctivas, preventivas y de mejoramiento con análisis de causa raíz e indicadores de seguimiento [Patiño Cabrera et al. 2026a].</w:t>
      </w:r>
    </w:p>
    <w:p>
      <w:pPr>
        <w:pStyle w:val="Compact"/>
        <w:numPr>
          <w:ilvl w:val="0"/>
          <w:numId w:val="1002"/>
        </w:numPr>
      </w:pPr>
      <w:r>
        <w:t xml:space="preserve">Una lista de casos de prueba de aceptación (CA-01 a CA-16) definida en el procedimiento de implementación [Patiño Cabrera et al. 2026c].</w:t>
      </w:r>
    </w:p>
    <w:bookmarkEnd w:id="34"/>
    <w:bookmarkStart w:id="35" w:name="Xab4278cd13e4e59ecfd1f54a8742be23679df9e"/>
    <w:p>
      <w:pPr>
        <w:pStyle w:val="Heading3"/>
      </w:pPr>
      <w:r>
        <w:t xml:space="preserve">3.5. Herramientas</w:t>
      </w:r>
    </w:p>
    <w:p>
      <w:pPr>
        <w:pStyle w:val="FirstParagraph"/>
      </w:pPr>
      <w:r>
        <w:t xml:space="preserve">La Tabla 1 resume la pila tecnológica, tomada de los archivos de construcción de cada repositorio.</w:t>
      </w:r>
    </w:p>
    <w:p>
      <w:pPr>
        <w:pStyle w:val="BodyText"/>
      </w:pPr>
      <w:r>
        <w:rPr>
          <w:b/>
          <w:bCs/>
        </w:rPr>
        <w:t xml:space="preserve">Tabla 1.</w:t>
      </w:r>
      <w:r>
        <w:t xml:space="preserve"> </w:t>
      </w:r>
      <w: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[Patiño Cabrera et al. 2026b]. La integración continua se hace con GitHub Actions en los 10 repositorios.</w:t>
      </w:r>
    </w:p>
    <w:bookmarkEnd w:id="35"/>
    <w:bookmarkStart w:id="36" w:name="X5a6a203b9ad95d50a083171a75562ea8304f624"/>
    <w:p>
      <w:pPr>
        <w:pStyle w:val="Heading3"/>
      </w:pPr>
      <w:r>
        <w:t xml:space="preserve">3.6. Procedimiento de Análisis</w:t>
      </w:r>
    </w:p>
    <w:p>
      <w:pPr>
        <w:pStyle w:val="FirstParagraph"/>
      </w:pPr>
      <w:r>
        <w:t xml:space="preserve">El estado de los requisitos se tomó de la matriz de trazabilidad de la SRS, verificada contra el código el 16 de octubre de 2026 [Guilombo Osorio et al. 2026]. Las pruebas se ejecutaron ese mismo día: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contra el sistema completo levantado con Docker.</w:t>
      </w:r>
    </w:p>
    <w:bookmarkEnd w:id="36"/>
    <w:bookmarkEnd w:id="37"/>
    <w:bookmarkStart w:id="52" w:name="X2be0ec436b9d44a13ce4d702f665fb64644a95f"/>
    <w:p>
      <w:pPr>
        <w:pStyle w:val="Heading2"/>
      </w:pPr>
      <w:r>
        <w:t xml:space="preserve">4. Resultados</w:t>
      </w:r>
    </w:p>
    <w:bookmarkStart w:id="41" w:name="Xd7563c0cc2dfb108956e2ef2d42453bc05dde2e"/>
    <w:p>
      <w:pPr>
        <w:pStyle w:val="Heading3"/>
      </w:pPr>
      <w:r>
        <w:t xml:space="preserve">4.1. Arquitectura Implementada</w:t>
      </w:r>
    </w:p>
    <w:p>
      <w:pPr>
        <w:pStyle w:val="FirstParagraph"/>
      </w:pPr>
      <w:r>
        <w:t xml:space="preserve">El backend quedó compuesto por seis microservicios de dominio detrás de un API Gateway (Figura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[Patiño Cabrera et al. 2026b].</w:t>
      </w:r>
    </w:p>
    <w:p>
      <w:pPr>
        <w:pStyle w:val="BodyText"/>
      </w:pPr>
      <w:r>
        <w:drawing>
          <wp:inline>
            <wp:extent cx="5334000" cy="3667125"/>
            <wp:effectExtent b="0" l="0" r="0" t="0"/>
            <wp:docPr descr="Diagrama de Contenedores del Sistema" title="" id="39" name="Picture"/>
            <a:graphic>
              <a:graphicData uri="http://schemas.openxmlformats.org/drawingml/2006/picture">
                <pic:pic>
                  <pic:nvPicPr>
                    <pic:cNvPr descr="capturas/arquitectura_es.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b/>
          <w:bCs/>
        </w:rPr>
        <w:t xml:space="preserve">Figura 1.</w:t>
      </w:r>
      <w:r>
        <w:t xml:space="preserve"> </w:t>
      </w:r>
      <w:r>
        <w:t xml:space="preserve">Diagrama de Contenedores del Sistema</w:t>
      </w:r>
    </w:p>
    <w:p>
      <w:pPr>
        <w:pStyle w:val="BodyText"/>
      </w:pPr>
      <w:r>
        <w:rPr>
          <w:i/>
          <w:iCs/>
        </w:rPr>
        <w:t xml:space="preserve">Nota.</w:t>
      </w:r>
      <w:r>
        <w:t xml:space="preserve"> </w:t>
      </w:r>
      <w:r>
        <w:t xml:space="preserve">Adaptado del manual técnico [Patiño Cabrera et al. 2026b],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2 muestra la distribución resultante.</w:t>
      </w:r>
    </w:p>
    <w:p>
      <w:pPr>
        <w:pStyle w:val="BodyText"/>
      </w:pPr>
      <w:r>
        <w:rPr>
          <w:b/>
          <w:bCs/>
        </w:rPr>
        <w:t xml:space="preserve">Tabla 2.</w:t>
      </w:r>
      <w:r>
        <w:t xml:space="preserve"> </w:t>
      </w:r>
      <w: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[Patiño Cabrera et al. 2026b].</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once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[Patiño Cabrera et al. 2026b].</w:t>
      </w:r>
    </w:p>
    <w:bookmarkEnd w:id="41"/>
    <w:bookmarkStart w:id="45" w:name="X84128c5cc3059c079fe8535198dbebfb7037f7b"/>
    <w:p>
      <w:pPr>
        <w:pStyle w:val="Heading3"/>
      </w:pPr>
      <w:r>
        <w:t xml:space="preserve">4.2. Reglas del Negocio e Integridad de los Datos</w:t>
      </w:r>
    </w:p>
    <w:p>
      <w:pPr>
        <w:pStyle w:val="FirstParagraph"/>
      </w:pPr>
      <w:r>
        <w:t xml:space="preserve">Las reglas más críticas no dependen solo del código de la aplicación, sino que se garantizan también en la base de datos (Tabla 3).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3.</w:t>
      </w:r>
      <w:r>
        <w:t xml:space="preserve"> </w:t>
      </w:r>
      <w: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[Patiño Cabrera et al. 2026b].</w:t>
      </w:r>
    </w:p>
    <w:p>
      <w:pPr>
        <w:pStyle w:val="BodyText"/>
      </w:pPr>
      <w:r>
        <w:t xml:space="preserve">La reserva, la asignación y el pago tienen ciclos de vida independientes, de modo que una reserva confirmada no hace parecer aprobado un pago pendiente. La Figura 2 muestra el ciclo de vida de la reserva; el pago recorre los estados PENDING, IN_REVIEW, APPROVED o REJECTED, y un pago aprobado puede pasar a REFUNDED.</w:t>
      </w:r>
    </w:p>
    <w:p>
      <w:pPr>
        <w:pStyle w:val="BodyText"/>
      </w:pPr>
      <w:r>
        <w:drawing>
          <wp:inline>
            <wp:extent cx="5334000" cy="2580967"/>
            <wp:effectExtent b="0" l="0" r="0" t="0"/>
            <wp:docPr descr="Diagrama de Estados de la Reserva" title="" id="43" name="Picture"/>
            <a:graphic>
              <a:graphicData uri="http://schemas.openxmlformats.org/drawingml/2006/picture">
                <pic:pic>
                  <pic:nvPicPr>
                    <pic:cNvPr descr="capturas/estados_reserva_es.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b/>
          <w:bCs/>
        </w:rPr>
        <w:t xml:space="preserve">Figura 2.</w:t>
      </w:r>
      <w:r>
        <w:t xml:space="preserve"> </w:t>
      </w:r>
      <w:r>
        <w:t xml:space="preserve">Diagrama de Estados de la Reserva</w:t>
      </w:r>
    </w:p>
    <w:p>
      <w:pPr>
        <w:pStyle w:val="BodyText"/>
      </w:pPr>
      <w:r>
        <w:rPr>
          <w:i/>
          <w:iCs/>
        </w:rPr>
        <w:t xml:space="preserve">Nota.</w:t>
      </w:r>
      <w:r>
        <w:t xml:space="preserve"> </w:t>
      </w:r>
      <w:r>
        <w:t xml:space="preserve">Los estados en gris son finales. Tomado del manual técnico [Patiño Cabrera et al. 2026b], con las etiquetas traducidas.</w:t>
      </w:r>
    </w:p>
    <w:bookmarkEnd w:id="45"/>
    <w:bookmarkStart w:id="46" w:name="X47fabc0e719fcb1305c896607d75c9de7687acb"/>
    <w:p>
      <w:pPr>
        <w:pStyle w:val="Heading3"/>
      </w:pPr>
      <w:r>
        <w:t xml:space="preserve">4.3. 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4 resume su estado al 16 de octubre de 2026: 40 implementados (98 %) y 1 parcial.</w:t>
      </w:r>
    </w:p>
    <w:p>
      <w:pPr>
        <w:pStyle w:val="BodyText"/>
      </w:pPr>
      <w:r>
        <w:rPr>
          <w:b/>
          <w:bCs/>
        </w:rPr>
        <w:t xml:space="preserve">Tabla 4.</w:t>
      </w:r>
      <w:r>
        <w:t xml:space="preserve"> </w:t>
      </w:r>
      <w:r>
        <w:t xml:space="preserve">Estado de los Requisitos Funcionales al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7.0 [Guilombo Osorio et al. 2026].</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[Guilombo Osorio et al. 2026].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6"/>
    <w:bookmarkStart w:id="47" w:name="Xd4b370ddf62d7a3903ea24ad12e8e5d426aa77e"/>
    <w:p>
      <w:pPr>
        <w:pStyle w:val="Heading3"/>
      </w:pPr>
      <w:r>
        <w:t xml:space="preserve">4.4. Resultados de las Pruebas</w:t>
      </w:r>
    </w:p>
    <w:p>
      <w:pPr>
        <w:pStyle w:val="FirstParagraph"/>
      </w:pPr>
      <w:r>
        <w:t xml:space="preserve">El 16 de octubre de 2026 se ejecutaron todas las suites automatizadas: 639 pruebas aprobadas, ninguna fallida, y 7 pruebas de persistencia de payment-service omitidas porque necesitan una base de pruebas dedicada (Tabla 5). Ese mismo día pasaron las 19 pruebas de punta a punta de</w:t>
      </w:r>
      <w:r>
        <w:t xml:space="preserve"> </w:t>
      </w:r>
      <w:r>
        <w:rPr>
          <w:i/>
          <w:iCs/>
        </w:rPr>
        <w:t xml:space="preserve">lavarapido-infra/e2e</w:t>
      </w:r>
      <w:r>
        <w:t xml:space="preserve">, que recorren el sistema completo en Docker: reserva con elección de operario y asignación automática, flujo de los tres roles con pago, aprobación, puntos, ejecución y calificación, informe de inspección con fotos y enlace público, y reglas de acceso por rol. La SRS registraba 347 pruebas el 6 de octubre [Guilombo Osorio et al. 2026]; la diferencia corresponde a las pruebas que se agregaron con cada función nueva.</w:t>
      </w:r>
    </w:p>
    <w:p>
      <w:pPr>
        <w:pStyle w:val="BodyText"/>
      </w:pPr>
      <w:r>
        <w:rPr>
          <w:b/>
          <w:bCs/>
        </w:rPr>
        <w:t xml:space="preserve">Tabla 5.</w:t>
      </w:r>
      <w:r>
        <w:t xml:space="preserve"> </w:t>
      </w:r>
      <w:r>
        <w:t xml:space="preserve">Resultados de la Ejecución de las Pruebas Automatizadas (16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147</w:t>
            </w:r>
          </w:p>
        </w:tc>
        <w:tc>
          <w:tcPr/>
          <w:p>
            <w:pPr>
              <w:pStyle w:val="Compact"/>
            </w:pPr>
            <w:r>
              <w:t xml:space="preserve">147</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54</w:t>
            </w:r>
          </w:p>
        </w:tc>
        <w:tc>
          <w:tcPr/>
          <w:p>
            <w:pPr>
              <w:pStyle w:val="Compact"/>
            </w:pPr>
            <w:r>
              <w:t xml:space="preserve">54</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141</w:t>
            </w:r>
          </w:p>
        </w:tc>
        <w:tc>
          <w:tcPr/>
          <w:p>
            <w:pPr>
              <w:pStyle w:val="Compact"/>
            </w:pPr>
            <w:r>
              <w:t xml:space="preserve">0</w:t>
            </w:r>
          </w:p>
        </w:tc>
        <w:tc>
          <w:tcPr/>
          <w:p>
            <w:pPr>
              <w:pStyle w:val="Compact"/>
            </w:pPr>
            <w:r>
              <w:t xml:space="preserve">7</w:t>
            </w:r>
          </w:p>
        </w:tc>
      </w:tr>
      <w:tr>
        <w:tc>
          <w:tcPr/>
          <w:p>
            <w:pPr>
              <w:pStyle w:val="Compact"/>
            </w:pPr>
            <w:r>
              <w:rPr>
                <w:b/>
                <w:bCs/>
              </w:rPr>
              <w:t xml:space="preserve">Total</w:t>
            </w:r>
          </w:p>
        </w:tc>
        <w:tc>
          <w:tcPr/>
          <w:p>
            <w:pPr>
              <w:pStyle w:val="Compact"/>
            </w:pPr>
            <w:r>
              <w:rPr>
                <w:b/>
                <w:bCs/>
              </w:rPr>
              <w:t xml:space="preserve">646</w:t>
            </w:r>
          </w:p>
        </w:tc>
        <w:tc>
          <w:tcPr/>
          <w:p>
            <w:pPr>
              <w:pStyle w:val="Compact"/>
            </w:pPr>
            <w:r>
              <w:rPr>
                <w:b/>
                <w:bCs/>
              </w:rPr>
              <w:t xml:space="preserve">639</w:t>
            </w:r>
          </w:p>
        </w:tc>
        <w:tc>
          <w:tcPr/>
          <w:p>
            <w:pPr>
              <w:pStyle w:val="Compact"/>
            </w:pPr>
            <w:r>
              <w:rPr>
                <w:b/>
                <w:bCs/>
              </w:rPr>
              <w:t xml:space="preserve">0</w:t>
            </w:r>
          </w:p>
        </w:tc>
        <w:tc>
          <w:tcPr/>
          <w:p>
            <w:pPr>
              <w:pStyle w:val="Compact"/>
            </w:pPr>
            <w:r>
              <w:rPr>
                <w:b/>
                <w:bCs/>
              </w:rPr>
              <w:t xml:space="preserve">7</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33 casos funcionales de la documentación de pruebas se ejecutaron manualmente el 9 de octubre de 2026 contra el sistema completo.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7"/>
    <w:bookmarkStart w:id="48" w:name="X825097cea6c7c12bb6dfcae137f8cad096974d2"/>
    <w:p>
      <w:pPr>
        <w:pStyle w:val="Heading3"/>
      </w:pPr>
      <w:r>
        <w:t xml:space="preserve">4.5. Seguridad</w:t>
      </w:r>
    </w:p>
    <w:p>
      <w:pPr>
        <w:pStyle w:val="FirstParagraph"/>
      </w:pPr>
      <w:r>
        <w:t xml:space="preserve">La Tabla 6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6.</w:t>
      </w:r>
      <w:r>
        <w:t xml:space="preserve"> </w:t>
      </w:r>
      <w: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[Patiño Cabrera et al. 2026b; OWASP Foundation 2021].</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[Congreso de la República de Colombia 2012]. La opción del perfil que se llamaba "Eliminar cuenta" pasó a llamarse "Desactivar mi cuenta", porque la cuenta se desactiva y su historial se conserva.</w:t>
      </w:r>
    </w:p>
    <w:bookmarkEnd w:id="48"/>
    <w:bookmarkStart w:id="49" w:name="Xab477f653429fcdf7c0153c0753c5565c211eec"/>
    <w:p>
      <w:pPr>
        <w:pStyle w:val="Heading3"/>
      </w:pPr>
      <w:r>
        <w:t xml:space="preserve">4.6. Gestión de Defectos y Mejora Continua</w:t>
      </w:r>
    </w:p>
    <w:p>
      <w:pPr>
        <w:pStyle w:val="FirstParagraph"/>
      </w:pPr>
      <w:r>
        <w:t xml:space="preserve">Al 16 de octubre de 2026, el registro de acciones contenía 39 acciones correctivas cerradas, 2 correctivas abiertas, 14 preventivas y 13 de mejoramiento, de las cuales 5 ya están cerradas [Patiño Cabrera et al. 2026a]. El indicador de cierre de correctivas subió de 64 % el 9 de octubre a 95 % (39 de 41),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y dos solicitudes simultáneas que intentaban crear el mismo operario (AC-35).</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[Patiño Cabrera et al. 2026b]. La revisión del 16 de octubre de 2026 cerró las que seguían abiertas y llevó los manuales a la versión 4.0, con capturas reales del sistema.</w:t>
      </w:r>
    </w:p>
    <w:bookmarkEnd w:id="49"/>
    <w:bookmarkStart w:id="50" w:name="X7f50353bd9359919b98ff242d1a8da15b46e3fa"/>
    <w:p>
      <w:pPr>
        <w:pStyle w:val="Heading3"/>
      </w:pPr>
      <w:r>
        <w:t xml:space="preserve">4.7. 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[Patiño Cabrera et al. 2025], distribuidos como muestra la Tabla 7. El 79 % del costo corresponde al recurso humano.</w:t>
      </w:r>
    </w:p>
    <w:p>
      <w:pPr>
        <w:pStyle w:val="BodyText"/>
      </w:pPr>
      <w:r>
        <w:rPr>
          <w:b/>
          <w:bCs/>
        </w:rPr>
        <w:t xml:space="preserve">Tabla 7.</w:t>
      </w:r>
      <w:r>
        <w:t xml:space="preserve"> </w:t>
      </w:r>
      <w: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[Patiño Cabrera et al. 2025]. La propuesta se calculó sobre la pila tecnológica inicial (Windows 10 Pro, MySQL y arquitectura en capas), anterior al cambio a microservicios y SQL Server.</w:t>
      </w:r>
    </w:p>
    <w:bookmarkEnd w:id="50"/>
    <w:bookmarkStart w:id="51" w:name="Xf1396d30da99977c32aaeb5855aabf45d98f6b7"/>
    <w:p>
      <w:pPr>
        <w:pStyle w:val="Heading3"/>
      </w:pPr>
      <w:r>
        <w:t xml:space="preserve">4.8. 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[Patiño Cabrera et al. 2026c], y el proyecto definió las medidas de éxito que se deben capturar como línea base: flujos de reserva completados, conflictos de reserva, servicios con estado final, pagos conciliados con reservas, calificaciones y notificaciones leídas [Equipo de Desarrollo Vehicle Washing 2026b]. El plan de actividades también incluía la validación de requisitos con el cliente y pruebas finales con el cliente en el último sprint [Equipo de Desarrollo Vehicle Washing 2026a], pero en los documentos revisados no hay registros de sus resultados.</w:t>
      </w:r>
    </w:p>
    <w:bookmarkEnd w:id="51"/>
    <w:bookmarkEnd w:id="52"/>
    <w:bookmarkStart w:id="54" w:name="X783c2fb12898934028b780f427e5a76e39b8188"/>
    <w:p>
      <w:pPr>
        <w:pStyle w:val="Heading2"/>
      </w:pPr>
      <w:r>
        <w:t xml:space="preserve">5. 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[2021]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[Richardson 2018].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[Patiño Cabrera et al. 2025].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[Cockburn 2005] se refleja en la forma de las pruebas: las 639 pruebas automatizadas se ejecutan sin base de datos, porque prueban el dominio, los casos de uso y la capa web con dobles de prueba en lugar de la infraestructura real, lo que las hace rápidas y deterministas. Desde el 19 de octubre de 2026 esas pruebas corren solas en cada cambio con GitHub Actions; sin embargo, la ausencia de medición de cobertura limita la confianza que estas cifras pueden dar, y la suite de punta a punta, que prueba los servicios integrados, todavía se corre a mano. La investigación de Forsgren et al. [2018] asocia la integración continua y la automatización de pruebas con un mejor desempeño en la entrega de software; por eso el proyecto cerró su deuda técnica TD-006 con GitHub Actions.</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[Patiño Cabrera et al. 2026a]. Los ADR [Nygard 2011] permitieron que los cambios de alcance, como la asignación manual de operarios, quedaran justificados en lugar de aparecer como incumplimientos silenciosos.</w:t>
      </w:r>
    </w:p>
    <w:bookmarkStart w:id="53" w:name="Xfd2ac4d8d5b41740b6aa9eb2b1ff4db0c916a1a"/>
    <w:p>
      <w:pPr>
        <w:pStyle w:val="Heading3"/>
      </w:pPr>
      <w:r>
        <w:t xml:space="preserve">5.1. 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[Guilombo Osorio et al. 2026]. Sexta, el caso es único y de pequeña escala, por lo que sus conclusiones no se pueden generalizar a otros negocios.</w:t>
      </w:r>
    </w:p>
    <w:bookmarkEnd w:id="53"/>
    <w:bookmarkEnd w:id="54"/>
    <w:bookmarkStart w:id="55" w:name="X1a5d9f0519642c4f8fc2c951c686d47b3ceedd6"/>
    <w:p>
      <w:pPr>
        <w:pStyle w:val="Heading2"/>
      </w:pPr>
      <w:r>
        <w:t xml:space="preserve">6. 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639 pruebas automatizadas y 19 pruebas de punta a punta aprobadas sin fallos, y el sistema desplegado en un servidor público con HTTPS. Las reglas críticas del negocio se garantizan en la base de datos, lo que protege el sistema frente a la concurrencia en reservas, pagos y puntos.</w:t>
      </w:r>
    </w:p>
    <w:p>
      <w:pPr>
        <w:pStyle w:val="BodyText"/>
      </w:pPr>
      <w:r>
        <w:t xml:space="preserve">Al mismo tiempo, falta lo más importante para operar con personas usuarias reales: la validación con el negocio. También falta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llevar a la integración continua las pruebas de punta a punta;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[Patiño Cabrera et al. 2026b].</w:t>
      </w:r>
    </w:p>
    <w:bookmarkEnd w:id="55"/>
    <w:bookmarkStart w:id="71" w:name="referencias"/>
    <w:p>
      <w:pPr>
        <w:pStyle w:val="Heading2"/>
      </w:pPr>
      <w:r>
        <w:t xml:space="preserve">Referencias</w:t>
      </w:r>
    </w:p>
    <w:p>
      <w:pPr>
        <w:pStyle w:val="FirstParagraph"/>
      </w:pPr>
      <w:r>
        <w:t xml:space="preserve">Kent Beck. 2003.</w:t>
      </w:r>
      <w:r>
        <w:t xml:space="preserve"> </w:t>
      </w:r>
      <w:r>
        <w:rPr>
          <w:i/>
          <w:iCs/>
        </w:rPr>
        <w:t xml:space="preserve">Test-Driven Development: By Example</w:t>
      </w:r>
      <w:r>
        <w:t xml:space="preserve">. Addison-Wesley.</w:t>
      </w:r>
    </w:p>
    <w:p>
      <w:pPr>
        <w:pStyle w:val="BodyText"/>
      </w:pPr>
      <w:r>
        <w:t xml:space="preserve">Alistair Cockburn. 2005. Hexagonal Architecture.</w:t>
      </w:r>
      <w:r>
        <w:t xml:space="preserve"> </w:t>
      </w:r>
      <w:hyperlink r:id="rId56">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5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Plan de actividades Scrum del proyecto LavaRapido</w:t>
      </w:r>
      <w:r>
        <w:t xml:space="preserve"> </w:t>
      </w:r>
      <w:r>
        <w:t xml:space="preserve">(scrum1.1). Hoja de cálculo no publicada. Servicio Nacional de Aprendizaje.</w:t>
      </w:r>
    </w:p>
    <w:p>
      <w:pPr>
        <w:pStyle w:val="BodyText"/>
      </w:pPr>
      <w:r>
        <w:t xml:space="preserve">Equipo de Desarrollo Vehicle Washing. 2026b.</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8">
        <w:r>
          <w:rPr>
            <w:rStyle w:val="Hyperlink"/>
          </w:rPr>
          <w:t xml:space="preserve">https://github.com/code-sena/vehicle-w-docs</w:t>
        </w:r>
      </w:hyperlink>
    </w:p>
    <w:p>
      <w:pPr>
        <w:pStyle w:val="BodyText"/>
      </w:pPr>
      <w:r>
        <w:t xml:space="preserve">Eric Evans. 2004.</w:t>
      </w:r>
      <w:r>
        <w:t xml:space="preserve"> </w:t>
      </w:r>
      <w:r>
        <w:rPr>
          <w:i/>
          <w:iCs/>
        </w:rPr>
        <w:t xml:space="preserve">Domain-Driven Design: Tackling Complexity in the Heart of Software</w:t>
      </w:r>
      <w:r>
        <w:t xml:space="preserve">. Addison-Wesley.</w:t>
      </w:r>
    </w:p>
    <w:p>
      <w:pPr>
        <w:pStyle w:val="BodyText"/>
      </w:pPr>
      <w:r>
        <w:t xml:space="preserve">Roy T. Fielding. 2000.</w:t>
      </w:r>
      <w:r>
        <w:t xml:space="preserve"> </w:t>
      </w:r>
      <w:r>
        <w:rPr>
          <w:i/>
          <w:iCs/>
        </w:rPr>
        <w:t xml:space="preserve">Architectural Styles and the Design of Network-based Software Architectures</w:t>
      </w:r>
      <w:r>
        <w:t xml:space="preserve">. Tesis doctoral. University of California, Irvine.</w:t>
      </w:r>
      <w:r>
        <w:t xml:space="preserve"> </w:t>
      </w:r>
      <w:hyperlink r:id="rId59">
        <w:r>
          <w:rPr>
            <w:rStyle w:val="Hyperlink"/>
          </w:rPr>
          <w:t xml:space="preserve">https://ics.uci.edu/~fielding/pubs/dissertation/top.htm</w:t>
        </w:r>
      </w:hyperlink>
    </w:p>
    <w:p>
      <w:pPr>
        <w:pStyle w:val="BodyText"/>
      </w:pPr>
      <w:r>
        <w:t xml:space="preserve">Nicole Forsgren, Jez Humble, and Gene Kim.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Juan Camilo Guilombo Osorio, Brayan Estiven Patiño Cabrera, and Merari Urbano Quintero.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(Versión 7.0). Documento no publicado. Servicio Nacional de Aprendizaje.</w:t>
      </w:r>
    </w:p>
    <w:p>
      <w:pPr>
        <w:pStyle w:val="BodyText"/>
      </w:pPr>
      <w:r>
        <w:t xml:space="preserve">Gregor Hohpe and Bobby Woolf.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IEEE Std 830-1998.</w:t>
      </w:r>
      <w:r>
        <w:t xml:space="preserve"> </w:t>
      </w:r>
      <w:hyperlink r:id="rId60">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ISO 9001:2015.</w:t>
      </w:r>
      <w:r>
        <w:t xml:space="preserve"> </w:t>
      </w:r>
      <w:hyperlink r:id="rId61">
        <w:r>
          <w:rPr>
            <w:rStyle w:val="Hyperlink"/>
          </w:rPr>
          <w:t xml:space="preserve">https://www.iso.org/standard/62085.html</w:t>
        </w:r>
      </w:hyperlink>
    </w:p>
    <w:p>
      <w:pPr>
        <w:pStyle w:val="BodyText"/>
      </w:pPr>
      <w:r>
        <w:t xml:space="preserve">International Organization for Standardization, International Electrotechnical Commission, and Institute of Electrical and Electronics Engineers. 2017.</w:t>
      </w:r>
      <w:r>
        <w:t xml:space="preserve"> </w:t>
      </w:r>
      <w:r>
        <w:rPr>
          <w:i/>
          <w:iCs/>
        </w:rPr>
        <w:t xml:space="preserve">Systems and Software Engineering — Software Life Cycle Processes</w:t>
      </w:r>
      <w:r>
        <w:t xml:space="preserve">. ISO/IEC/IEEE 12207:2017.</w:t>
      </w:r>
      <w:r>
        <w:t xml:space="preserve"> </w:t>
      </w:r>
      <w:hyperlink r:id="rId62">
        <w:r>
          <w:rPr>
            <w:rStyle w:val="Hyperlink"/>
          </w:rPr>
          <w:t xml:space="preserve">https://www.iso.org/standard/63712.html</w:t>
        </w:r>
      </w:hyperlink>
    </w:p>
    <w:p>
      <w:pPr>
        <w:pStyle w:val="BodyText"/>
      </w:pPr>
      <w:r>
        <w:t xml:space="preserve">International Organization for Standardization, International Electrotechnical Commission, and Institute of Electrical and Electronics Engineers. 2022.</w:t>
      </w:r>
      <w:r>
        <w:t xml:space="preserve"> </w:t>
      </w:r>
      <w:r>
        <w:rPr>
          <w:i/>
          <w:iCs/>
        </w:rPr>
        <w:t xml:space="preserve">Software Engineering — Software Life Cycle Processes — Maintenance</w:t>
      </w:r>
      <w:r>
        <w:t xml:space="preserve">. ISO/IEC/IEEE 14764:2022.</w:t>
      </w:r>
      <w:r>
        <w:t xml:space="preserve"> </w:t>
      </w:r>
      <w:hyperlink r:id="rId63">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ISO/IEC 25010:2023.</w:t>
      </w:r>
      <w:r>
        <w:t xml:space="preserve"> </w:t>
      </w:r>
      <w:hyperlink r:id="rId64">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ISO/IEC/IEEE 29148:2018.</w:t>
      </w:r>
      <w:r>
        <w:t xml:space="preserve"> </w:t>
      </w:r>
      <w:hyperlink r:id="rId65">
        <w:r>
          <w:rPr>
            <w:rStyle w:val="Hyperlink"/>
          </w:rPr>
          <w:t xml:space="preserve">https://www.iso.org/standard/72089.html</w:t>
        </w:r>
      </w:hyperlink>
    </w:p>
    <w:p>
      <w:pPr>
        <w:pStyle w:val="BodyText"/>
      </w:pPr>
      <w:r>
        <w:t xml:space="preserve">Michael B. Jones, John Bradley, and Nat Sakimura. 2015.</w:t>
      </w:r>
      <w:r>
        <w:t xml:space="preserve"> </w:t>
      </w:r>
      <w:r>
        <w:rPr>
          <w:i/>
          <w:iCs/>
        </w:rPr>
        <w:t xml:space="preserve">JSON Web Token (JWT)</w:t>
      </w:r>
      <w:r>
        <w:t xml:space="preserve">. RFC 7519. Internet Engineering Task Force.</w:t>
      </w:r>
      <w:r>
        <w:t xml:space="preserve"> </w:t>
      </w:r>
      <w:hyperlink r:id="rId66">
        <w:r>
          <w:rPr>
            <w:rStyle w:val="Hyperlink"/>
          </w:rPr>
          <w:t xml:space="preserve">https://www.rfc-editor.org/rfc/rfc7519</w:t>
        </w:r>
      </w:hyperlink>
    </w:p>
    <w:p>
      <w:pPr>
        <w:pStyle w:val="BodyText"/>
      </w:pPr>
      <w:r>
        <w:t xml:space="preserve">Sam Newman. 2021.</w:t>
      </w:r>
      <w:r>
        <w:t xml:space="preserve"> </w:t>
      </w:r>
      <w:r>
        <w:rPr>
          <w:i/>
          <w:iCs/>
        </w:rPr>
        <w:t xml:space="preserve">Building Microservices: Designing Fine-Grained Systems</w:t>
      </w:r>
      <w:r>
        <w:t xml:space="preserve"> </w:t>
      </w:r>
      <w:r>
        <w:t xml:space="preserve">(2.ª ed.). O'Reilly Media.</w:t>
      </w:r>
    </w:p>
    <w:p>
      <w:pPr>
        <w:pStyle w:val="BodyText"/>
      </w:pPr>
      <w:r>
        <w:t xml:space="preserve">Mark Nottingham, Erik Wilde, and Sanjay Dalal. 2023.</w:t>
      </w:r>
      <w:r>
        <w:t xml:space="preserve"> </w:t>
      </w:r>
      <w:r>
        <w:rPr>
          <w:i/>
          <w:iCs/>
        </w:rPr>
        <w:t xml:space="preserve">Problem Details for HTTP APIs</w:t>
      </w:r>
      <w:r>
        <w:t xml:space="preserve">. RFC 9457. Internet Engineering Task Force.</w:t>
      </w:r>
      <w:r>
        <w:t xml:space="preserve"> </w:t>
      </w:r>
      <w:hyperlink r:id="rId67">
        <w:r>
          <w:rPr>
            <w:rStyle w:val="Hyperlink"/>
          </w:rPr>
          <w:t xml:space="preserve">https://www.rfc-editor.org/rfc/rfc9457</w:t>
        </w:r>
      </w:hyperlink>
    </w:p>
    <w:p>
      <w:pPr>
        <w:pStyle w:val="BodyText"/>
      </w:pPr>
      <w:r>
        <w:t xml:space="preserve">Michael Nygard. 2011. Documenting Architecture Decisions. Cognitect.</w:t>
      </w:r>
      <w:r>
        <w:t xml:space="preserve"> </w:t>
      </w:r>
      <w:hyperlink r:id="rId68">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69">
        <w:r>
          <w:rPr>
            <w:rStyle w:val="Hyperlink"/>
          </w:rPr>
          <w:t xml:space="preserve">https://owasp.org/Top10/</w:t>
        </w:r>
      </w:hyperlink>
    </w:p>
    <w:p>
      <w:pPr>
        <w:pStyle w:val="BodyText"/>
      </w:pPr>
      <w:r>
        <w:t xml:space="preserve">Brayan Estiven Patiño Cabrera, Juan Camilo Guilombo Osorio, and Merari Urbano. 2025.</w:t>
      </w:r>
      <w:r>
        <w:t xml:space="preserve"> </w:t>
      </w:r>
      <w:r>
        <w:rPr>
          <w:i/>
          <w:iCs/>
        </w:rPr>
        <w:t xml:space="preserve">Propuesta técnica y económica: Sistema integral para la gestión de servicios móviles de lavado vehicular</w:t>
      </w:r>
      <w:r>
        <w:t xml:space="preserve">. Documento no publicado. Servicio Nacional de Aprendizaje.</w:t>
      </w:r>
    </w:p>
    <w:p>
      <w:pPr>
        <w:pStyle w:val="BodyText"/>
      </w:pPr>
      <w:r>
        <w:t xml:space="preserve">Brayan Estiven Patiño Cabrera, Juan Camilo Guilombo Osorio, and Merari Urbano. 2026a.</w:t>
      </w:r>
      <w:r>
        <w:t xml:space="preserve"> </w:t>
      </w:r>
      <w:r>
        <w:rPr>
          <w:i/>
          <w:iCs/>
        </w:rPr>
        <w:t xml:space="preserve">Documentación de acciones correctivas, preventivas y de mejoramiento del software: Sistema de Gestión de Lavado Vehicular (Vehicle Washing)</w:t>
      </w:r>
      <w:r>
        <w:t xml:space="preserve"> </w:t>
      </w:r>
      <w:r>
        <w:t xml:space="preserve">(Versión 2.0). Documento no publicado. Servicio Nacional de Aprendizaje.</w:t>
      </w:r>
    </w:p>
    <w:p>
      <w:pPr>
        <w:pStyle w:val="BodyText"/>
      </w:pPr>
      <w:r>
        <w:t xml:space="preserve">Brayan Estiven Patiño Cabrera, Juan Camilo Guilombo Osorio, and Merari Urbano. 2026b.</w:t>
      </w:r>
      <w:r>
        <w:t xml:space="preserve"> </w:t>
      </w:r>
      <w:r>
        <w:rPr>
          <w:i/>
          <w:iCs/>
        </w:rPr>
        <w:t xml:space="preserve">Manual técnico: Sistema de Gestión de Lavado Vehicular (Vehicle Washing)</w:t>
      </w:r>
      <w:r>
        <w:t xml:space="preserve"> </w:t>
      </w:r>
      <w:r>
        <w:t xml:space="preserve">(Versión 4.0). Documento no publicado. Servicio Nacional de Aprendizaje.</w:t>
      </w:r>
    </w:p>
    <w:p>
      <w:pPr>
        <w:pStyle w:val="BodyText"/>
      </w:pPr>
      <w:r>
        <w:t xml:space="preserve">Brayan Estiven Patiño Cabrera, Juan Camilo Guilombo Osorio, and Merari Urbano. 2026c.</w:t>
      </w:r>
      <w:r>
        <w:t xml:space="preserve"> </w:t>
      </w:r>
      <w:r>
        <w:rPr>
          <w:i/>
          <w:iCs/>
        </w:rPr>
        <w:t xml:space="preserve">Procedimiento de implementación del software: Sistema de Gestión de Lavado Vehicular (Vehicle Washing)</w:t>
      </w:r>
      <w:r>
        <w:t xml:space="preserve"> </w:t>
      </w:r>
      <w:r>
        <w:t xml:space="preserve">(Versión 2.0). Documento no publicado. Servicio Nacional de Aprendizaje.</w:t>
      </w:r>
    </w:p>
    <w:p>
      <w:pPr>
        <w:pStyle w:val="BodyText"/>
      </w:pPr>
      <w:r>
        <w:t xml:space="preserve">Niels Provos and David Mazières. 1999. A Future-Adaptable Password Scheme. In</w:t>
      </w:r>
      <w:r>
        <w:t xml:space="preserve"> </w:t>
      </w:r>
      <w:r>
        <w:rPr>
          <w:i/>
          <w:iCs/>
        </w:rPr>
        <w:t xml:space="preserve">Proceedings of the 1999 USENIX Annual Technical Conference, FREENIX Track</w:t>
      </w:r>
      <w:r>
        <w:t xml:space="preserve">. USENIX Association, 81–91.</w:t>
      </w:r>
    </w:p>
    <w:p>
      <w:pPr>
        <w:pStyle w:val="BodyText"/>
      </w:pPr>
      <w:r>
        <w:t xml:space="preserve">Chris Richardson. 2018.</w:t>
      </w:r>
      <w:r>
        <w:t xml:space="preserve"> </w:t>
      </w:r>
      <w:r>
        <w:rPr>
          <w:i/>
          <w:iCs/>
        </w:rPr>
        <w:t xml:space="preserve">Microservices Patterns: With Examples in Java</w:t>
      </w:r>
      <w:r>
        <w:t xml:space="preserve">. Manning Publications.</w:t>
      </w:r>
    </w:p>
    <w:p>
      <w:pPr>
        <w:pStyle w:val="BodyText"/>
      </w:pPr>
      <w:r>
        <w:t xml:space="preserve">Ken Schwaber and Jeff Sutherland. 2020.</w:t>
      </w:r>
      <w:r>
        <w:t xml:space="preserve"> </w:t>
      </w:r>
      <w:r>
        <w:rPr>
          <w:i/>
          <w:iCs/>
        </w:rPr>
        <w:t xml:space="preserve">The Scrum Guide: The Definitive Guide to Scrum: The Rules of the Game</w:t>
      </w:r>
      <w:r>
        <w:t xml:space="preserve">.</w:t>
      </w:r>
      <w:r>
        <w:t xml:space="preserve"> </w:t>
      </w:r>
      <w:hyperlink r:id="rId70">
        <w:r>
          <w:rPr>
            <w:rStyle w:val="Hyperlink"/>
          </w:rPr>
          <w:t xml:space="preserve">https://scrumguides.org/scrum-guide.html</w:t>
        </w:r>
      </w:hyperlink>
    </w:p>
    <w:bookmarkEnd w:id="71"/>
    <w:bookmarkStart w:id="73" w:name="apéndice"/>
    <w:p>
      <w:pPr>
        <w:pStyle w:val="Heading2"/>
      </w:pPr>
      <w:r>
        <w:t xml:space="preserve">Apéndice</w:t>
      </w:r>
    </w:p>
    <w:bookmarkStart w:id="72"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r>
        <w:t xml:space="preserve"> </w:t>
      </w:r>
      <w: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5 reporta solo lo ejecutado</w:t>
            </w:r>
          </w:p>
        </w:tc>
      </w:tr>
    </w:tbl>
    <w:p>
      <w:pPr>
        <w:pStyle w:val="BodyText"/>
      </w:pPr>
      <w:r>
        <w:rPr>
          <w:i/>
          <w:iCs/>
        </w:rPr>
        <w:t xml:space="preserve">Nota.</w:t>
      </w:r>
      <w:r>
        <w:t xml:space="preserve"> </w:t>
      </w:r>
      <w:r>
        <w:t xml:space="preserve">Elaborado por los autores a partir de la revisión de las carpetas del proyecto.</w:t>
      </w:r>
    </w:p>
    <w:p>
      <w:r>
        <w:pict>
          <v:rect style="width:0;height:1.5pt" o:hralign="center" o:hrstd="t" o:hr="t"/>
        </w:pict>
      </w:r>
    </w:p>
    <w:bookmarkEnd w:id="72"/>
    <w:bookmarkEnd w:id="73"/>
    <w:bookmarkEnd w:id="74"/>
    <w:bookmarkStart w:id="114" w:name="X09ce14ca71d2e73acb5661bf6e511b22db7ad4f"/>
    <w:p>
      <w:pPr>
        <w:pStyle w:val="Heading1"/>
      </w:pPr>
      <w:r>
        <w:t xml:space="preserve">Design and Implementation of a Microservices Platform for Booking, Operations, and Verified Payment Management at a Car Wash</w:t>
      </w:r>
    </w:p>
    <w:p>
      <w:pPr>
        <w:pStyle w:val="FirstParagraph"/>
      </w:pPr>
      <w:r>
        <w:rPr>
          <w:b/>
          <w:bCs/>
        </w:rPr>
        <w:t xml:space="preserve">Brayan Estiven Patiño Cabrera</w:t>
      </w:r>
      <w:r>
        <w:t xml:space="preserve"> </w:t>
      </w:r>
      <w:r>
        <w:t xml:space="preserve">— Servicio Nacional de Aprendizaje (SENA), Huila Regional Office, Colombia</w:t>
      </w:r>
      <w:r>
        <w:br/>
      </w:r>
      <w:r>
        <w:rPr>
          <w:b/>
          <w:bCs/>
        </w:rPr>
        <w:t xml:space="preserve">Juan Camilo Guilombo Osorio</w:t>
      </w:r>
      <w:r>
        <w:t xml:space="preserve"> </w:t>
      </w:r>
      <w:r>
        <w:t xml:space="preserve">— Servicio Nacional de Aprendizaje (SENA), Huila Regional Office, Colombia</w:t>
      </w:r>
      <w:r>
        <w:br/>
      </w:r>
      <w:r>
        <w:rPr>
          <w:b/>
          <w:bCs/>
        </w:rPr>
        <w:t xml:space="preserve">Merari Urbano Quintero</w:t>
      </w:r>
      <w:r>
        <w:t xml:space="preserve"> </w:t>
      </w:r>
      <w:r>
        <w:t xml:space="preserve">— Servicio Nacional de Aprendizaje (SENA), Huila Regional Office, Colombia</w:t>
      </w:r>
    </w:p>
    <w:p>
      <w:pPr>
        <w:pStyle w:val="BodyText"/>
      </w:pPr>
      <w:r>
        <w:rPr>
          <w:i/>
          <w:iCs/>
        </w:rPr>
        <w:t xml:space="preserve">Technologist in Software Analysis and Development (ADSO), Ficha 3145556. Instructor: Karol Daniela Correa. October 16, 2026.</w:t>
      </w:r>
    </w:p>
    <w:p>
      <w:pPr>
        <w:pStyle w:val="BodyText"/>
      </w:pPr>
      <w:r>
        <w:rPr>
          <w:b/>
          <w:bCs/>
        </w:rPr>
        <w:t xml:space="preserve">Abstract.</w:t>
      </w:r>
      <w:r>
        <w:t xml:space="preserve"> </w:t>
      </w:r>
      <w: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16, 2026, 40 of the 41 functional requirements were implemented and 1 was partial. That day 639 automated tests were run and all passed (7 persistence tests were skipped because they need a dedicated test database), and 19 end-to-end tests against the complete system in Docker also passed. The system also runs on a public server on Azure. Since October 19, 2026, each repository builds and runs its tests with GitHub Actions on every change. The consolidated reports and a request rate limit in the gateway are still pending. The operational benefits for the business remain a hypothesis, because they have not yet been measured with real users.</w:t>
      </w:r>
    </w:p>
    <w:p>
      <w:pPr>
        <w:pStyle w:val="BodyText"/>
      </w:pPr>
      <w:r>
        <w:rPr>
          <w:b/>
          <w:bCs/>
        </w:rPr>
        <w:t xml:space="preserve">Keywords:</w:t>
      </w:r>
      <w:r>
        <w:t xml:space="preserve"> </w:t>
      </w:r>
      <w:r>
        <w:t xml:space="preserve">microservices, hexagonal architecture, booking system, car wash, QR code payments, software design documentation</w:t>
      </w:r>
    </w:p>
    <w:bookmarkStart w:id="79" w:name="Xe3d0fc0bea9a42ce7605565d0964033d7f6ee47"/>
    <w:p>
      <w:pPr>
        <w:pStyle w:val="Heading2"/>
      </w:pPr>
      <w:r>
        <w:t xml:space="preserve">1. Introduction</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75" w:name="X8ed7113c30baefd0a0d5373f9e8fb0f217861be"/>
    <w:p>
      <w:pPr>
        <w:pStyle w:val="Heading3"/>
      </w:pPr>
      <w:r>
        <w:t xml:space="preserve">1.1. 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[Guilombo Osorio et al. 2026].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[Vehicle Washing Development Team 2026b].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[Vehicle Washing Development Team 2026b].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75"/>
    <w:bookmarkStart w:id="76" w:name="X3cd3d9bba8da4d7c354a4e022d35780446c2c58"/>
    <w:p>
      <w:pPr>
        <w:pStyle w:val="Heading3"/>
      </w:pPr>
      <w:r>
        <w:t xml:space="preserve">1.2. 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[Vehicle Washing Development Team 2026b].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[Congreso de la República de Colombia 2012],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6"/>
    <w:bookmarkStart w:id="77" w:name="X20170cc6f1120ca210884b45e182ac79340b39a"/>
    <w:p>
      <w:pPr>
        <w:pStyle w:val="Heading3"/>
      </w:pPr>
      <w:r>
        <w:t xml:space="preserve">1.3. Objectives</w:t>
      </w:r>
    </w:p>
    <w:p>
      <w:pPr>
        <w:pStyle w:val="FirstParagraph"/>
      </w:pPr>
      <w:r>
        <w:t xml:space="preserve">The current project objectives are stated in version 7.0 of the SRS [Guilombo Osorio et al. 2026].</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77"/>
    <w:bookmarkStart w:id="78" w:name="X48fd30616645779094f626f6ae898107fc4fd3b"/>
    <w:p>
      <w:pPr>
        <w:pStyle w:val="Heading3"/>
      </w:pPr>
      <w:r>
        <w:t xml:space="preserve">1.4. 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[Patiño Cabrera et al. 2025].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[Guilombo Osorio et al. 2026].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78"/>
    <w:bookmarkEnd w:id="79"/>
    <w:bookmarkStart w:id="85" w:name="X7cfc27aa22c83c22675a72b9de6e2da42abc807"/>
    <w:p>
      <w:pPr>
        <w:pStyle w:val="Heading2"/>
      </w:pPr>
      <w:r>
        <w:t xml:space="preserve">2. 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80" w:name="Xc5587ca0e062672463c80a6a2616d68954db6bc"/>
    <w:p>
      <w:pPr>
        <w:pStyle w:val="Heading3"/>
      </w:pPr>
      <w:r>
        <w:t xml:space="preserve">2.1. Microservices and Data Ownership</w:t>
      </w:r>
    </w:p>
    <w:p>
      <w:pPr>
        <w:pStyle w:val="FirstParagraph"/>
      </w:pPr>
      <w:r>
        <w:t xml:space="preserve">A microservices architecture organizes software into services that are deployed independently, built around a business capability, and own their data [Newman 2021]. This style makes it easier for each part to evolve separately, but it introduces problems specific to distributed systems, such as consistency across services and reliable event publishing, for which patterns such as Saga and Outbox exist [Richardson 2018]. Choosing which patterns to adopt, and documenting why others are discarded, is part of the design.</w:t>
      </w:r>
    </w:p>
    <w:bookmarkEnd w:id="80"/>
    <w:bookmarkStart w:id="81" w:name="X78b9433d4d8df55805c0fcec9e3ac6dbe3bb12e"/>
    <w:p>
      <w:pPr>
        <w:pStyle w:val="Heading3"/>
      </w:pPr>
      <w:r>
        <w:t xml:space="preserve">2.2. 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[Evans 2004]. Hexagonal architecture, or ports and adapters, complements that idea: the application core does not depend on the database, the framework, or messaging, which are connected through adapters [Cockburn 2005]. The combination makes it possible to test business rules without infrastructure.</w:t>
      </w:r>
    </w:p>
    <w:bookmarkEnd w:id="81"/>
    <w:bookmarkStart w:id="82" w:name="X5469a4be28513cb857c0fe287a3646c7f79963a"/>
    <w:p>
      <w:pPr>
        <w:pStyle w:val="Heading3"/>
      </w:pPr>
      <w:r>
        <w:t xml:space="preserve">2.3. Synchronous and Asynchronous Integration</w:t>
      </w:r>
    </w:p>
    <w:p>
      <w:pPr>
        <w:pStyle w:val="FirstParagraph"/>
      </w:pPr>
      <w:r>
        <w:t xml:space="preserve">The system's external interfaces follow the REST architectural style [Fielding 2000], and their errors are expressed in the standard</w:t>
      </w:r>
      <w:r>
        <w:t xml:space="preserve"> </w:t>
      </w:r>
      <w:r>
        <w:rPr>
          <w:i/>
          <w:iCs/>
        </w:rPr>
        <w:t xml:space="preserve">Problem Details for HTTP APIs</w:t>
      </w:r>
      <w:r>
        <w:t xml:space="preserve"> </w:t>
      </w:r>
      <w:r>
        <w:t xml:space="preserve">format [Nottingham et al. 2023]. For work that can happen after a transaction, such as sending a notification, the system uses publish-subscribe messaging, in which a sender publishes an event without knowing its consumers [Hohpe and Woolf 2003].</w:t>
      </w:r>
    </w:p>
    <w:bookmarkEnd w:id="82"/>
    <w:bookmarkStart w:id="83" w:name="Xc8a8d10b2971f837d13d4311a9e84078193a977"/>
    <w:p>
      <w:pPr>
        <w:pStyle w:val="Heading3"/>
      </w:pPr>
      <w:r>
        <w:t xml:space="preserve">2.4. Application Security</w:t>
      </w:r>
    </w:p>
    <w:p>
      <w:pPr>
        <w:pStyle w:val="FirstParagraph"/>
      </w:pPr>
      <w:r>
        <w:t xml:space="preserve">Stateless authentication relies on JSON Web Tokens (JWT), signed tokens that carry the user's identity and roles [Jones et al. 2015]. Passwords are stored with BCrypt, a derivation function with an adjustable cost [Provos and Mazières 1999]. The OWASP Top 10 list serves as a reference for reviewing the most common web application risks [OWASP Foundation 2021].</w:t>
      </w:r>
    </w:p>
    <w:bookmarkEnd w:id="83"/>
    <w:bookmarkStart w:id="84" w:name="Xe0126559163e432d3480b68181ab5e83bdffba9"/>
    <w:p>
      <w:pPr>
        <w:pStyle w:val="Heading3"/>
      </w:pPr>
      <w:r>
        <w:t xml:space="preserve">2.5. Software Quality Management</w:t>
      </w:r>
    </w:p>
    <w:p>
      <w:pPr>
        <w:pStyle w:val="FirstParagraph"/>
      </w:pPr>
      <w:r>
        <w:t xml:space="preserve">The project frames its corrective, preventive, and improvement actions within the maintenance and quality assurance processes of ISO/IEC/IEEE 12207 [ISO et al. 2017], the maintenance types of ISO/IEC/IEEE 14764 [ISO et al. 2022], and the continual improvement of ISO 9001 [ISO 2015]. Architecture decisions are recorded as Architecture Decision Records (ADRs), short documents that capture the context, the decision, and its consequences [Nygard 2011], and tests are written following test-driven development [Beck 2003]. Research on software delivery performance associates continuous integration and test automation with better delivery outcomes [Forsgren et al. 2018].</w:t>
      </w:r>
    </w:p>
    <w:bookmarkEnd w:id="84"/>
    <w:bookmarkEnd w:id="85"/>
    <w:bookmarkStart w:id="92" w:name="Xeae2dc85413e447d2c08d145b986cffc1f454f7"/>
    <w:p>
      <w:pPr>
        <w:pStyle w:val="Heading2"/>
      </w:pPr>
      <w:r>
        <w:t xml:space="preserve">3. Method</w:t>
      </w:r>
    </w:p>
    <w:bookmarkStart w:id="86" w:name="X8e3be7eb6a395ae84da32356f743cbd7fcca842"/>
    <w:p>
      <w:pPr>
        <w:pStyle w:val="Heading3"/>
      </w:pPr>
      <w:r>
        <w:t xml:space="preserve">3.1. 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[Patiño Cabrera et al. 2026a; Patiño Cabrera et al. 2026c]. Version 7.0 of the SRS follows the structure of IEEE 830 [IEEE 1998] and the contents of ISO/IEC/IEEE 29148 [ISO/IEC/IEEE 2018], and defines 41 functional requirements, 12 non-functional requirements classified according to the ISO/IEC 25010 quality model [ISO/IEC 2023], 30 use cases, and a traceability matrix with the status of each requirement [Guilombo Osorio et al. 2026].</w:t>
      </w:r>
    </w:p>
    <w:bookmarkEnd w:id="86"/>
    <w:bookmarkStart w:id="87" w:name="X398ddd02d2b12d4edd1591845f94090fc7f49b0"/>
    <w:p>
      <w:pPr>
        <w:pStyle w:val="Heading3"/>
      </w:pPr>
      <w:r>
        <w:t xml:space="preserve">3.2. 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[Vehicle Washing Development Team 2026b].</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[Vehicle Washing Development Team 2026b] (see the Appendix).</w:t>
      </w:r>
    </w:p>
    <w:bookmarkEnd w:id="87"/>
    <w:bookmarkStart w:id="88" w:name="Xe88b1728e2616aa968978651922acbc1ac63fa5"/>
    <w:p>
      <w:pPr>
        <w:pStyle w:val="Heading3"/>
      </w:pPr>
      <w:r>
        <w:t xml:space="preserve">3.3. 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[Vehicle Washing Development Team 2026b].</w:t>
      </w:r>
    </w:p>
    <w:p>
      <w:pPr>
        <w:pStyle w:val="BodyText"/>
      </w:pPr>
      <w:r>
        <w:t xml:space="preserve">Work management adapted Scrum practices [Schwaber and Sutherland 2020]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[Vehicle Washing Development Team 2026a].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88"/>
    <w:bookmarkStart w:id="89" w:name="X4014a645527a34beb663703f9ccad578702c017"/>
    <w:p>
      <w:pPr>
        <w:pStyle w:val="Heading3"/>
      </w:pPr>
      <w:r>
        <w:t xml:space="preserve">3.4. 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[Patiño Cabrera et al. 2026c].</w:t>
      </w:r>
    </w:p>
    <w:p>
      <w:pPr>
        <w:pStyle w:val="Compact"/>
        <w:numPr>
          <w:ilvl w:val="0"/>
          <w:numId w:val="1004"/>
        </w:numPr>
      </w:pPr>
      <w:r>
        <w:t xml:space="preserve">A register of corrective, preventive, and improvement actions with root cause analysis and follow-up indicators [Patiño Cabrera et al. 2026a].</w:t>
      </w:r>
    </w:p>
    <w:p>
      <w:pPr>
        <w:pStyle w:val="Compact"/>
        <w:numPr>
          <w:ilvl w:val="0"/>
          <w:numId w:val="1004"/>
        </w:numPr>
      </w:pPr>
      <w:r>
        <w:t xml:space="preserve">A list of acceptance test cases (CA-01 to CA-16) defined in the implementation procedure [Patiño Cabrera et al. 2026b].</w:t>
      </w:r>
    </w:p>
    <w:bookmarkEnd w:id="89"/>
    <w:bookmarkStart w:id="90" w:name="Xa1bfe30451587f4492d773e70239c0408f33761"/>
    <w:p>
      <w:pPr>
        <w:pStyle w:val="Heading3"/>
      </w:pPr>
      <w:r>
        <w:t xml:space="preserve">3.5. Tools</w:t>
      </w:r>
    </w:p>
    <w:p>
      <w:pPr>
        <w:pStyle w:val="FirstParagraph"/>
      </w:pPr>
      <w:r>
        <w:t xml:space="preserve">Table 1 summarizes the technology stack, taken from the build files of each repository.</w:t>
      </w:r>
    </w:p>
    <w:p>
      <w:pPr>
        <w:pStyle w:val="BodyText"/>
      </w:pPr>
      <w:r>
        <w:rPr>
          <w:b/>
          <w:bCs/>
        </w:rPr>
        <w:t xml:space="preserve">Table 1.</w:t>
      </w:r>
      <w:r>
        <w:t xml:space="preserve"> </w:t>
      </w:r>
      <w: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[Patiño Cabrera et al. 2026c]. Continuous integration runs on GitHub Actions in the 10 repositories.</w:t>
      </w:r>
    </w:p>
    <w:bookmarkEnd w:id="90"/>
    <w:bookmarkStart w:id="91" w:name="X86a7e6b8a5e5d90d94d61053a930d62fd0bdf14"/>
    <w:p>
      <w:pPr>
        <w:pStyle w:val="Heading3"/>
      </w:pPr>
      <w:r>
        <w:t xml:space="preserve">3.6. Analysis Procedure</w:t>
      </w:r>
    </w:p>
    <w:p>
      <w:pPr>
        <w:pStyle w:val="FirstParagraph"/>
      </w:pPr>
      <w:r>
        <w:t xml:space="preserve">The status of the requirements was taken from the SRS traceability matrix, verified against the code on October 16, 2026 [Guilombo Osorio et al. 2026]. The tests were run that same day: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against the complete system started with Docker.</w:t>
      </w:r>
    </w:p>
    <w:bookmarkEnd w:id="91"/>
    <w:bookmarkEnd w:id="92"/>
    <w:bookmarkStart w:id="107" w:name="X121719332867ee227f0a04b486098cee978c6e6"/>
    <w:p>
      <w:pPr>
        <w:pStyle w:val="Heading2"/>
      </w:pPr>
      <w:r>
        <w:t xml:space="preserve">4. Results</w:t>
      </w:r>
    </w:p>
    <w:bookmarkStart w:id="96" w:name="X533897e566e3ed192d5f08f15b246ab6a60ab4f"/>
    <w:p>
      <w:pPr>
        <w:pStyle w:val="Heading3"/>
      </w:pPr>
      <w:r>
        <w:t xml:space="preserve">4.1. Implemented Architecture</w:t>
      </w:r>
    </w:p>
    <w:p>
      <w:pPr>
        <w:pStyle w:val="FirstParagraph"/>
      </w:pPr>
      <w:r>
        <w:t xml:space="preserve">The backend consists of six domain microservices behind an API gateway (Figure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[Patiño Cabrera et al. 2026c].</w:t>
      </w:r>
    </w:p>
    <w:p>
      <w:pPr>
        <w:pStyle w:val="BodyText"/>
      </w:pPr>
      <w:r>
        <w:drawing>
          <wp:inline>
            <wp:extent cx="5334000" cy="3667125"/>
            <wp:effectExtent b="0" l="0" r="0" t="0"/>
            <wp:docPr descr="System Container Diagram" title="" id="94" name="Picture"/>
            <a:graphic>
              <a:graphicData uri="http://schemas.openxmlformats.org/drawingml/2006/picture">
                <pic:pic>
                  <pic:nvPicPr>
                    <pic:cNvPr descr="capturas/arquitectura_en.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System Container Diagram</w:t>
      </w:r>
    </w:p>
    <w:p>
      <w:pPr>
        <w:pStyle w:val="BodyText"/>
      </w:pPr>
      <w:r>
        <w:rPr>
          <w:i/>
          <w:iCs/>
        </w:rPr>
        <w:t xml:space="preserve">Note.</w:t>
      </w:r>
      <w:r>
        <w:t xml:space="preserve"> </w:t>
      </w:r>
      <w:r>
        <w:t xml:space="preserve">Adapted from the technical manual [Patiño Cabrera et al. 2026c],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2 shows the resulting distribution.</w:t>
      </w:r>
    </w:p>
    <w:p>
      <w:pPr>
        <w:pStyle w:val="BodyText"/>
      </w:pPr>
      <w:r>
        <w:rPr>
          <w:b/>
          <w:bCs/>
        </w:rPr>
        <w:t xml:space="preserve">Table 2.</w:t>
      </w:r>
      <w:r>
        <w:t xml:space="preserve"> </w:t>
      </w:r>
      <w: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[Patiño Cabrera et al. 2026c].</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eleven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[Patiño Cabrera et al. 2026c].</w:t>
      </w:r>
    </w:p>
    <w:bookmarkEnd w:id="96"/>
    <w:bookmarkStart w:id="100" w:name="X38b25a360319f5c9cad80570695adc102bc22e8"/>
    <w:p>
      <w:pPr>
        <w:pStyle w:val="Heading3"/>
      </w:pPr>
      <w:r>
        <w:t xml:space="preserve">4.2. Business Rules and Data Integrity</w:t>
      </w:r>
    </w:p>
    <w:p>
      <w:pPr>
        <w:pStyle w:val="FirstParagraph"/>
      </w:pPr>
      <w:r>
        <w:t xml:space="preserve">The most critical rules do not depend only on application code; they are also enforced in the database (Table 3).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3.</w:t>
      </w:r>
      <w:r>
        <w:t xml:space="preserve"> </w:t>
      </w:r>
      <w: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[Patiño Cabrera et al. 2026c].</w:t>
      </w:r>
    </w:p>
    <w:p>
      <w:pPr>
        <w:pStyle w:val="BodyText"/>
      </w:pPr>
      <w:r>
        <w:t xml:space="preserve">Booking, assignment, and payment have independent life cycles, so a confirmed booking does not make a pending payment look approved. Figure 2 shows the booking life cycle; a payment moves through the states PENDING, IN_REVIEW, APPROVED or REJECTED, and an approved payment can move to REFUNDED.</w:t>
      </w:r>
    </w:p>
    <w:p>
      <w:pPr>
        <w:pStyle w:val="BodyText"/>
      </w:pPr>
      <w:r>
        <w:drawing>
          <wp:inline>
            <wp:extent cx="5334000" cy="2580967"/>
            <wp:effectExtent b="0" l="0" r="0" t="0"/>
            <wp:docPr descr="Booking State Diagram" title="" id="98" name="Picture"/>
            <a:graphic>
              <a:graphicData uri="http://schemas.openxmlformats.org/drawingml/2006/picture">
                <pic:pic>
                  <pic:nvPicPr>
                    <pic:cNvPr descr="capturas/estados_reserva_en.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Booking State Diagram</w:t>
      </w:r>
    </w:p>
    <w:p>
      <w:pPr>
        <w:pStyle w:val="BodyText"/>
      </w:pPr>
      <w:r>
        <w:rPr>
          <w:i/>
          <w:iCs/>
        </w:rPr>
        <w:t xml:space="preserve">Note.</w:t>
      </w:r>
      <w:r>
        <w:t xml:space="preserve"> </w:t>
      </w:r>
      <w:r>
        <w:t xml:space="preserve">Gray states are final. Taken from the technical manual [Patiño Cabrera et al. 2026c].</w:t>
      </w:r>
    </w:p>
    <w:bookmarkEnd w:id="100"/>
    <w:bookmarkStart w:id="101" w:name="X2365028b7865a0df5307e455ee6b98a72a178ce"/>
    <w:p>
      <w:pPr>
        <w:pStyle w:val="Heading3"/>
      </w:pPr>
      <w:r>
        <w:t xml:space="preserve">4.3. 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4 summarizes their status as of October 16, 2026: 40 implemented (98%) and 1 partial.</w:t>
      </w:r>
    </w:p>
    <w:p>
      <w:pPr>
        <w:pStyle w:val="BodyText"/>
      </w:pPr>
      <w:r>
        <w:rPr>
          <w:b/>
          <w:bCs/>
        </w:rPr>
        <w:t xml:space="preserve">Table 4.</w:t>
      </w:r>
      <w:r>
        <w:t xml:space="preserve"> </w:t>
      </w:r>
      <w:r>
        <w:t xml:space="preserve">Status of the Functional Requirements as of October 16,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7.0 [Guilombo Osorio et al. 2026].</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[Guilombo Osorio et al. 2026].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(integration tests against SQL Server are missing), observability, maintainability, portability, compatibility (web screens do not overflow 360 px, but testing on an Android 8 device is missing), usability (no test with users), and localization.</w:t>
      </w:r>
    </w:p>
    <w:bookmarkEnd w:id="101"/>
    <w:bookmarkStart w:id="102" w:name="Xfcb6062f48bc36f5088cdac7c68e444647eb4de"/>
    <w:p>
      <w:pPr>
        <w:pStyle w:val="Heading3"/>
      </w:pPr>
      <w:r>
        <w:t xml:space="preserve">4.4. Test Results</w:t>
      </w:r>
    </w:p>
    <w:p>
      <w:pPr>
        <w:pStyle w:val="FirstParagraph"/>
      </w:pPr>
      <w:r>
        <w:t xml:space="preserve">On October 16, 2026, all the automated suites were run: 639 tests passed, none failed, and 7 payment-service persistence tests were skipped because they need a dedicated test database (Table 5). That same day the 19 end-to-end tests of</w:t>
      </w:r>
      <w:r>
        <w:t xml:space="preserve"> </w:t>
      </w:r>
      <w:r>
        <w:rPr>
          <w:i/>
          <w:iCs/>
        </w:rPr>
        <w:t xml:space="preserve">lavarapido-infra/e2e</w:t>
      </w:r>
      <w:r>
        <w:t xml:space="preserve"> </w:t>
      </w:r>
      <w:r>
        <w:t xml:space="preserve">passed; they run through the complete system in Docker: booking with operator choice and automatic assignment, the flow of the three roles with payment, approval, points, execution, and rating, the inspection report with photos and a public link, and access rules per role. The SRS recorded 347 tests on October 6 [Guilombo Osorio et al. 2026]; the difference corresponds to the tests added with each new function.</w:t>
      </w:r>
    </w:p>
    <w:p>
      <w:pPr>
        <w:pStyle w:val="BodyText"/>
      </w:pPr>
      <w:r>
        <w:rPr>
          <w:b/>
          <w:bCs/>
        </w:rPr>
        <w:t xml:space="preserve">Table 5.</w:t>
      </w:r>
      <w:r>
        <w:t xml:space="preserve"> </w:t>
      </w:r>
      <w:r>
        <w:t xml:space="preserve">Results of the Automated Test Run (October 16,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147</w:t>
            </w:r>
          </w:p>
        </w:tc>
        <w:tc>
          <w:tcPr/>
          <w:p>
            <w:pPr>
              <w:pStyle w:val="Compact"/>
            </w:pPr>
            <w:r>
              <w:t xml:space="preserve">147</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54</w:t>
            </w:r>
          </w:p>
        </w:tc>
        <w:tc>
          <w:tcPr/>
          <w:p>
            <w:pPr>
              <w:pStyle w:val="Compact"/>
            </w:pPr>
            <w:r>
              <w:t xml:space="preserve">54</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141</w:t>
            </w:r>
          </w:p>
        </w:tc>
        <w:tc>
          <w:tcPr/>
          <w:p>
            <w:pPr>
              <w:pStyle w:val="Compact"/>
            </w:pPr>
            <w:r>
              <w:t xml:space="preserve">0</w:t>
            </w:r>
          </w:p>
        </w:tc>
        <w:tc>
          <w:tcPr/>
          <w:p>
            <w:pPr>
              <w:pStyle w:val="Compact"/>
            </w:pPr>
            <w:r>
              <w:t xml:space="preserve">7</w:t>
            </w:r>
          </w:p>
        </w:tc>
      </w:tr>
      <w:tr>
        <w:tc>
          <w:tcPr/>
          <w:p>
            <w:pPr>
              <w:pStyle w:val="Compact"/>
            </w:pPr>
            <w:r>
              <w:rPr>
                <w:b/>
                <w:bCs/>
              </w:rPr>
              <w:t xml:space="preserve">Total</w:t>
            </w:r>
          </w:p>
        </w:tc>
        <w:tc>
          <w:tcPr/>
          <w:p>
            <w:pPr>
              <w:pStyle w:val="Compact"/>
            </w:pPr>
            <w:r>
              <w:rPr>
                <w:b/>
                <w:bCs/>
              </w:rPr>
              <w:t xml:space="preserve">646</w:t>
            </w:r>
          </w:p>
        </w:tc>
        <w:tc>
          <w:tcPr/>
          <w:p>
            <w:pPr>
              <w:pStyle w:val="Compact"/>
            </w:pPr>
            <w:r>
              <w:rPr>
                <w:b/>
                <w:bCs/>
              </w:rPr>
              <w:t xml:space="preserve">639</w:t>
            </w:r>
          </w:p>
        </w:tc>
        <w:tc>
          <w:tcPr/>
          <w:p>
            <w:pPr>
              <w:pStyle w:val="Compact"/>
            </w:pPr>
            <w:r>
              <w:rPr>
                <w:b/>
                <w:bCs/>
              </w:rPr>
              <w:t xml:space="preserve">0</w:t>
            </w:r>
          </w:p>
        </w:tc>
        <w:tc>
          <w:tcPr/>
          <w:p>
            <w:pPr>
              <w:pStyle w:val="Compact"/>
            </w:pPr>
            <w:r>
              <w:rPr>
                <w:b/>
                <w:bCs/>
              </w:rPr>
              <w:t xml:space="preserve">7</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33 functional cases of the test documentation were run manually on October 9, 2026, against the complete system.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102"/>
    <w:bookmarkStart w:id="103" w:name="X6c5d11b3a02e19781569c7ac48d03c1e42a650b"/>
    <w:p>
      <w:pPr>
        <w:pStyle w:val="Heading3"/>
      </w:pPr>
      <w:r>
        <w:t xml:space="preserve">4.5. Security</w:t>
      </w:r>
    </w:p>
    <w:p>
      <w:pPr>
        <w:pStyle w:val="FirstParagraph"/>
      </w:pPr>
      <w:r>
        <w:t xml:space="preserve">Table 6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6.</w:t>
      </w:r>
      <w:r>
        <w:t xml:space="preserve"> </w:t>
      </w:r>
      <w: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[Patiño Cabrera et al. 2026c; OWASP Foundation 2021].</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[Congreso de la República de Colombia 2012]. The profile option formerly called "Delete account" is now called "Deactivate my account", because the account is deactivated and its history is kept.</w:t>
      </w:r>
    </w:p>
    <w:bookmarkEnd w:id="103"/>
    <w:bookmarkStart w:id="104" w:name="X6acbe47c120a1d061e7c092a24af31e972a4e3d"/>
    <w:p>
      <w:pPr>
        <w:pStyle w:val="Heading3"/>
      </w:pPr>
      <w:r>
        <w:t xml:space="preserve">4.6. Defect Management and Continual Improvement</w:t>
      </w:r>
    </w:p>
    <w:p>
      <w:pPr>
        <w:pStyle w:val="FirstParagraph"/>
      </w:pPr>
      <w:r>
        <w:t xml:space="preserve">As of October 16, 2026, the actions register contained 39 closed corrective actions, 2 open corrective actions, 14 preventive actions, and 13 improvement actions, 5 of which are already closed [Patiño Cabrera et al. 2026a]. The corrective closure indicator rose from 64% on October 9 to 95% (39 of 41),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and two simultaneous requests that tried to create the same operator (AC-35).</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[Patiño Cabrera et al. 2026c]. The review of October 16, 2026, closed the ones still open and brought the manuals to version 4.0, with real screenshots of the system.</w:t>
      </w:r>
    </w:p>
    <w:bookmarkEnd w:id="104"/>
    <w:bookmarkStart w:id="105" w:name="Xaed80d5f1656425517dbc000ac39f0d719a939b"/>
    <w:p>
      <w:pPr>
        <w:pStyle w:val="Heading3"/>
      </w:pPr>
      <w:r>
        <w:t xml:space="preserve">4.7. 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[Patiño Cabrera et al. 2025], distributed as shown in Table 7. Human resources account for 79% of the cost.</w:t>
      </w:r>
    </w:p>
    <w:p>
      <w:pPr>
        <w:pStyle w:val="BodyText"/>
      </w:pPr>
      <w:r>
        <w:rPr>
          <w:b/>
          <w:bCs/>
        </w:rPr>
        <w:t xml:space="preserve">Table 7.</w:t>
      </w:r>
      <w:r>
        <w:t xml:space="preserve"> </w:t>
      </w:r>
      <w: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[Patiño Cabrera et al. 2025]. The proposal was calculated on the initial technology stack (Windows 10 Pro, MySQL, and a layered architecture), before the move to microservices and SQL Server.</w:t>
      </w:r>
    </w:p>
    <w:bookmarkEnd w:id="105"/>
    <w:bookmarkStart w:id="106" w:name="Xdca1eec85df2e042ac7aaaab7791de17451db6c"/>
    <w:p>
      <w:pPr>
        <w:pStyle w:val="Heading3"/>
      </w:pPr>
      <w:r>
        <w:t xml:space="preserve">4.8. 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[Patiño Cabrera et al. 2026b], and the project defined the success measures to be captured as a baseline: completed booking flows, booking conflicts, services with a final status, payments reconciled with bookings, ratings, and read notifications [Vehicle Washing Development Team 2026b]. The activity plan also included requirements validation with the client and final tests with the client in the last sprint [Vehicle Washing Development Team 2026a], but the documents reviewed contain no records of their results.</w:t>
      </w:r>
    </w:p>
    <w:bookmarkEnd w:id="106"/>
    <w:bookmarkEnd w:id="107"/>
    <w:bookmarkStart w:id="109" w:name="X735612638e4e736e4693e459c258977262c0dfc"/>
    <w:p>
      <w:pPr>
        <w:pStyle w:val="Heading2"/>
      </w:pPr>
      <w:r>
        <w:t xml:space="preserve">5. 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[2021]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[Richardson 2018].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[Patiño Cabrera et al. 2025].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[Cockburn 2005] is reflected in the shape of the tests: all 639 automated tests run without a database, because they test the domain, the use cases, and the web layer with test doubles instead of the real infrastructure, which makes them fast and deterministic. Since October 19, 2026, these tests run automatically on every change with GitHub Actions; however, the lack of coverage measurement limits the confidence these figures can provide, and the end-to-end suite, which tests the integrated services, is still run by hand. Research by Forsgren et al. [2018] associates continuous integration and test automation with better software delivery performance, which is why the project closed its technical debt TD-006 with GitHub Actions.</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[Patiño Cabrera et al. 2026a]. The ADRs [Nygard 2011] allowed scope changes, such as manual operator assignment, to be justified rather than appearing as silent non-compliance.</w:t>
      </w:r>
    </w:p>
    <w:bookmarkStart w:id="108" w:name="Xd3d5b9d52522a60c58fbfa7a100ce3b5fe6ed92"/>
    <w:p>
      <w:pPr>
        <w:pStyle w:val="Heading3"/>
      </w:pPr>
      <w:r>
        <w:t xml:space="preserve">5.1. 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[Guilombo Osorio et al. 2026]. Sixth, the case is single and small-scale, so its conclusions cannot be generalized to other businesses.</w:t>
      </w:r>
    </w:p>
    <w:bookmarkEnd w:id="108"/>
    <w:bookmarkEnd w:id="109"/>
    <w:bookmarkStart w:id="110" w:name="X56025c6d9dbf7520f7a7df11f905cdd09f46e4a"/>
    <w:p>
      <w:pPr>
        <w:pStyle w:val="Heading2"/>
      </w:pPr>
      <w:r>
        <w:t xml:space="preserve">6. 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639 automated tests and 19 end-to-end tests passing with no failures, and the system deployed on a public server with HTTPS. The critical business rules are enforced in the database, which protects the system against concurrency in bookings, payments, and points.</w:t>
      </w:r>
    </w:p>
    <w:p>
      <w:pPr>
        <w:pStyle w:val="BodyText"/>
      </w:pPr>
      <w:r>
        <w:t xml:space="preserve">At the same time, the most important step to operate with real users is still missing: validation with the business. A request rate limit in the gateway is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bringing the end-to-end tests into continuous integration;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[Patiño Cabrera et al. 2026c].</w:t>
      </w:r>
    </w:p>
    <w:bookmarkEnd w:id="110"/>
    <w:bookmarkStart w:id="111" w:name="references"/>
    <w:p>
      <w:pPr>
        <w:pStyle w:val="Heading2"/>
      </w:pPr>
      <w:r>
        <w:t xml:space="preserve">References</w:t>
      </w:r>
    </w:p>
    <w:p>
      <w:pPr>
        <w:pStyle w:val="FirstParagraph"/>
      </w:pPr>
      <w:r>
        <w:t xml:space="preserve">Kent Beck. 2003.</w:t>
      </w:r>
      <w:r>
        <w:t xml:space="preserve"> </w:t>
      </w:r>
      <w:r>
        <w:rPr>
          <w:i/>
          <w:iCs/>
        </w:rPr>
        <w:t xml:space="preserve">Test-Driven Development: By Example</w:t>
      </w:r>
      <w:r>
        <w:t xml:space="preserve">. Addison-Wesley.</w:t>
      </w:r>
    </w:p>
    <w:p>
      <w:pPr>
        <w:pStyle w:val="BodyText"/>
      </w:pPr>
      <w:r>
        <w:t xml:space="preserve">Alistair Cockburn. 2005. Hexagonal Architecture.</w:t>
      </w:r>
      <w:r>
        <w:t xml:space="preserve"> </w:t>
      </w:r>
      <w:hyperlink r:id="rId56">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57">
        <w:r>
          <w:rPr>
            <w:rStyle w:val="Hyperlink"/>
          </w:rPr>
          <w:t xml:space="preserve">http://www.secretariasenado.gov.co/senado/basedoc/ley_1581_2012.html</w:t>
        </w:r>
      </w:hyperlink>
    </w:p>
    <w:p>
      <w:pPr>
        <w:pStyle w:val="BodyText"/>
      </w:pPr>
      <w:r>
        <w:t xml:space="preserve">Eric Evans. 2004.</w:t>
      </w:r>
      <w:r>
        <w:t xml:space="preserve"> </w:t>
      </w:r>
      <w:r>
        <w:rPr>
          <w:i/>
          <w:iCs/>
        </w:rPr>
        <w:t xml:space="preserve">Domain-Driven Design: Tackling Complexity in the Heart of Software</w:t>
      </w:r>
      <w:r>
        <w:t xml:space="preserve">. Addison-Wesley.</w:t>
      </w:r>
    </w:p>
    <w:p>
      <w:pPr>
        <w:pStyle w:val="BodyText"/>
      </w:pPr>
      <w:r>
        <w:t xml:space="preserve">Roy T. Fielding. 2000.</w:t>
      </w:r>
      <w:r>
        <w:t xml:space="preserve"> </w:t>
      </w:r>
      <w:r>
        <w:rPr>
          <w:i/>
          <w:iCs/>
        </w:rPr>
        <w:t xml:space="preserve">Architectural Styles and the Design of Network-based Software Architectures</w:t>
      </w:r>
      <w:r>
        <w:t xml:space="preserve">. Ph. D. Dissertation. University of California, Irvine.</w:t>
      </w:r>
      <w:r>
        <w:t xml:space="preserve"> </w:t>
      </w:r>
      <w:hyperlink r:id="rId59">
        <w:r>
          <w:rPr>
            <w:rStyle w:val="Hyperlink"/>
          </w:rPr>
          <w:t xml:space="preserve">https://ics.uci.edu/~fielding/pubs/dissertation/top.htm</w:t>
        </w:r>
      </w:hyperlink>
    </w:p>
    <w:p>
      <w:pPr>
        <w:pStyle w:val="BodyText"/>
      </w:pPr>
      <w:r>
        <w:t xml:space="preserve">Nicole Forsgren, Jez Humble, and Gene Kim.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Juan Camilo Guilombo Osorio, Brayan Estiven Patiño Cabrera, and Merari Urbano Quintero.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[Software requirements specification (SRS) of the LavaRápido system: Web and mobile booking and management platform for a car wash] (Version 7.0). Unpublished document. Servicio Nacional de Aprendizaje.</w:t>
      </w:r>
    </w:p>
    <w:p>
      <w:pPr>
        <w:pStyle w:val="BodyText"/>
      </w:pPr>
      <w:r>
        <w:t xml:space="preserve">Gregor Hohpe and Bobby Woolf.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IEEE Std 830-1998.</w:t>
      </w:r>
      <w:r>
        <w:t xml:space="preserve"> </w:t>
      </w:r>
      <w:hyperlink r:id="rId60">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ISO 9001:2015.</w:t>
      </w:r>
      <w:r>
        <w:t xml:space="preserve"> </w:t>
      </w:r>
      <w:hyperlink r:id="rId61">
        <w:r>
          <w:rPr>
            <w:rStyle w:val="Hyperlink"/>
          </w:rPr>
          <w:t xml:space="preserve">https://www.iso.org/standard/62085.html</w:t>
        </w:r>
      </w:hyperlink>
    </w:p>
    <w:p>
      <w:pPr>
        <w:pStyle w:val="BodyText"/>
      </w:pPr>
      <w:r>
        <w:t xml:space="preserve">International Organization for Standardization, International Electrotechnical Commission, and Institute of Electrical and Electronics Engineers. 2017.</w:t>
      </w:r>
      <w:r>
        <w:t xml:space="preserve"> </w:t>
      </w:r>
      <w:r>
        <w:rPr>
          <w:i/>
          <w:iCs/>
        </w:rPr>
        <w:t xml:space="preserve">Systems and Software Engineering — Software Life Cycle Processes</w:t>
      </w:r>
      <w:r>
        <w:t xml:space="preserve">. ISO/IEC/IEEE 12207:2017.</w:t>
      </w:r>
      <w:r>
        <w:t xml:space="preserve"> </w:t>
      </w:r>
      <w:hyperlink r:id="rId62">
        <w:r>
          <w:rPr>
            <w:rStyle w:val="Hyperlink"/>
          </w:rPr>
          <w:t xml:space="preserve">https://www.iso.org/standard/63712.html</w:t>
        </w:r>
      </w:hyperlink>
    </w:p>
    <w:p>
      <w:pPr>
        <w:pStyle w:val="BodyText"/>
      </w:pPr>
      <w:r>
        <w:t xml:space="preserve">International Organization for Standardization, International Electrotechnical Commission, and Institute of Electrical and Electronics Engineers. 2022.</w:t>
      </w:r>
      <w:r>
        <w:t xml:space="preserve"> </w:t>
      </w:r>
      <w:r>
        <w:rPr>
          <w:i/>
          <w:iCs/>
        </w:rPr>
        <w:t xml:space="preserve">Software Engineering — Software Life Cycle Processes — Maintenance</w:t>
      </w:r>
      <w:r>
        <w:t xml:space="preserve">. ISO/IEC/IEEE 14764:2022.</w:t>
      </w:r>
      <w:r>
        <w:t xml:space="preserve"> </w:t>
      </w:r>
      <w:hyperlink r:id="rId63">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ISO/IEC 25010:2023.</w:t>
      </w:r>
      <w:r>
        <w:t xml:space="preserve"> </w:t>
      </w:r>
      <w:hyperlink r:id="rId64">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ISO/IEC/IEEE 29148:2018.</w:t>
      </w:r>
      <w:r>
        <w:t xml:space="preserve"> </w:t>
      </w:r>
      <w:hyperlink r:id="rId65">
        <w:r>
          <w:rPr>
            <w:rStyle w:val="Hyperlink"/>
          </w:rPr>
          <w:t xml:space="preserve">https://www.iso.org/standard/72089.html</w:t>
        </w:r>
      </w:hyperlink>
    </w:p>
    <w:p>
      <w:pPr>
        <w:pStyle w:val="BodyText"/>
      </w:pPr>
      <w:r>
        <w:t xml:space="preserve">Michael B. Jones, John Bradley, and Nat Sakimura. 2015.</w:t>
      </w:r>
      <w:r>
        <w:t xml:space="preserve"> </w:t>
      </w:r>
      <w:r>
        <w:rPr>
          <w:i/>
          <w:iCs/>
        </w:rPr>
        <w:t xml:space="preserve">JSON Web Token (JWT)</w:t>
      </w:r>
      <w:r>
        <w:t xml:space="preserve">. RFC 7519. Internet Engineering Task Force.</w:t>
      </w:r>
      <w:r>
        <w:t xml:space="preserve"> </w:t>
      </w:r>
      <w:hyperlink r:id="rId66">
        <w:r>
          <w:rPr>
            <w:rStyle w:val="Hyperlink"/>
          </w:rPr>
          <w:t xml:space="preserve">https://www.rfc-editor.org/rfc/rfc7519</w:t>
        </w:r>
      </w:hyperlink>
    </w:p>
    <w:p>
      <w:pPr>
        <w:pStyle w:val="BodyText"/>
      </w:pPr>
      <w:r>
        <w:t xml:space="preserve">Sam Newman. 2021.</w:t>
      </w:r>
      <w:r>
        <w:t xml:space="preserve"> </w:t>
      </w:r>
      <w:r>
        <w:rPr>
          <w:i/>
          <w:iCs/>
        </w:rPr>
        <w:t xml:space="preserve">Building Microservices: Designing Fine-Grained Systems</w:t>
      </w:r>
      <w:r>
        <w:t xml:space="preserve"> </w:t>
      </w:r>
      <w:r>
        <w:t xml:space="preserve">(2nd ed.). O'Reilly Media.</w:t>
      </w:r>
    </w:p>
    <w:p>
      <w:pPr>
        <w:pStyle w:val="BodyText"/>
      </w:pPr>
      <w:r>
        <w:t xml:space="preserve">Mark Nottingham, Erik Wilde, and Sanjay Dalal. 2023.</w:t>
      </w:r>
      <w:r>
        <w:t xml:space="preserve"> </w:t>
      </w:r>
      <w:r>
        <w:rPr>
          <w:i/>
          <w:iCs/>
        </w:rPr>
        <w:t xml:space="preserve">Problem Details for HTTP APIs</w:t>
      </w:r>
      <w:r>
        <w:t xml:space="preserve">. RFC 9457. Internet Engineering Task Force.</w:t>
      </w:r>
      <w:r>
        <w:t xml:space="preserve"> </w:t>
      </w:r>
      <w:hyperlink r:id="rId67">
        <w:r>
          <w:rPr>
            <w:rStyle w:val="Hyperlink"/>
          </w:rPr>
          <w:t xml:space="preserve">https://www.rfc-editor.org/rfc/rfc9457</w:t>
        </w:r>
      </w:hyperlink>
    </w:p>
    <w:p>
      <w:pPr>
        <w:pStyle w:val="BodyText"/>
      </w:pPr>
      <w:r>
        <w:t xml:space="preserve">Michael Nygard. 2011. Documenting Architecture Decisions. Cognitect.</w:t>
      </w:r>
      <w:r>
        <w:t xml:space="preserve"> </w:t>
      </w:r>
      <w:hyperlink r:id="rId68">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69">
        <w:r>
          <w:rPr>
            <w:rStyle w:val="Hyperlink"/>
          </w:rPr>
          <w:t xml:space="preserve">https://owasp.org/Top10/</w:t>
        </w:r>
      </w:hyperlink>
    </w:p>
    <w:p>
      <w:pPr>
        <w:pStyle w:val="BodyText"/>
      </w:pPr>
      <w:r>
        <w:t xml:space="preserve">Brayan Estiven Patiño Cabrera, Juan Camilo Guilombo Osorio, and Merari Urbano. 2025.</w:t>
      </w:r>
      <w:r>
        <w:t xml:space="preserve"> </w:t>
      </w:r>
      <w:r>
        <w:rPr>
          <w:i/>
          <w:iCs/>
        </w:rPr>
        <w:t xml:space="preserve">Propuesta técnica y económica: Sistema integral para la gestión de servicios móviles de lavado vehicular</w:t>
      </w:r>
      <w:r>
        <w:t xml:space="preserve"> </w:t>
      </w:r>
      <w:r>
        <w:t xml:space="preserve">[Technical and economic proposal: Comprehensive system for managing mobile car wash services]. Unpublished document. Servicio Nacional de Aprendizaje.</w:t>
      </w:r>
    </w:p>
    <w:p>
      <w:pPr>
        <w:pStyle w:val="BodyText"/>
      </w:pPr>
      <w:r>
        <w:t xml:space="preserve">Brayan Estiven Patiño Cabrera, Juan Camilo Guilombo Osorio, and Merari Urbano. 2026a.</w:t>
      </w:r>
      <w:r>
        <w:t xml:space="preserve"> </w:t>
      </w:r>
      <w:r>
        <w:rPr>
          <w:i/>
          <w:iCs/>
        </w:rPr>
        <w:t xml:space="preserve">Documentation of Corrective, Preventive, and Improvement Actions for the Software: Vehicle Washing Management System (Vehicle Washing)</w:t>
      </w:r>
      <w:r>
        <w:t xml:space="preserve"> </w:t>
      </w:r>
      <w:r>
        <w:t xml:space="preserve">(Version 2.0). Unpublished document. Servicio Nacional de Aprendizaje.</w:t>
      </w:r>
    </w:p>
    <w:p>
      <w:pPr>
        <w:pStyle w:val="BodyText"/>
      </w:pPr>
      <w:r>
        <w:t xml:space="preserve">Brayan Estiven Patiño Cabrera, Juan Camilo Guilombo Osorio, and Merari Urbano. 2026b.</w:t>
      </w:r>
      <w:r>
        <w:t xml:space="preserve"> </w:t>
      </w:r>
      <w:r>
        <w:rPr>
          <w:i/>
          <w:iCs/>
        </w:rPr>
        <w:t xml:space="preserve">Software Implementation Procedure: Vehicle Washing Management System (Vehicle Washing)</w:t>
      </w:r>
      <w:r>
        <w:t xml:space="preserve"> </w:t>
      </w:r>
      <w:r>
        <w:t xml:space="preserve">(Version 2.0). Unpublished document. Servicio Nacional de Aprendizaje.</w:t>
      </w:r>
    </w:p>
    <w:p>
      <w:pPr>
        <w:pStyle w:val="BodyText"/>
      </w:pPr>
      <w:r>
        <w:t xml:space="preserve">Brayan Estiven Patiño Cabrera, Juan Camilo Guilombo Osorio, and Merari Urbano. 2026c.</w:t>
      </w:r>
      <w:r>
        <w:t xml:space="preserve"> </w:t>
      </w:r>
      <w:r>
        <w:rPr>
          <w:i/>
          <w:iCs/>
        </w:rPr>
        <w:t xml:space="preserve">Technical Manual: Vehicle Washing Management System (Vehicle Washing)</w:t>
      </w:r>
      <w:r>
        <w:t xml:space="preserve"> </w:t>
      </w:r>
      <w:r>
        <w:t xml:space="preserve">(Version 4.0). Unpublished document. Servicio Nacional de Aprendizaje.</w:t>
      </w:r>
    </w:p>
    <w:p>
      <w:pPr>
        <w:pStyle w:val="BodyText"/>
      </w:pPr>
      <w:r>
        <w:t xml:space="preserve">Niels Provos and David Mazières. 1999. A Future-Adaptable Password Scheme. In</w:t>
      </w:r>
      <w:r>
        <w:t xml:space="preserve"> </w:t>
      </w:r>
      <w:r>
        <w:rPr>
          <w:i/>
          <w:iCs/>
        </w:rPr>
        <w:t xml:space="preserve">Proceedings of the 1999 USENIX Annual Technical Conference, FREENIX Track</w:t>
      </w:r>
      <w:r>
        <w:t xml:space="preserve">. USENIX Association, 81–91.</w:t>
      </w:r>
    </w:p>
    <w:p>
      <w:pPr>
        <w:pStyle w:val="BodyText"/>
      </w:pPr>
      <w:r>
        <w:t xml:space="preserve">Chris Richardson. 2018.</w:t>
      </w:r>
      <w:r>
        <w:t xml:space="preserve"> </w:t>
      </w:r>
      <w:r>
        <w:rPr>
          <w:i/>
          <w:iCs/>
        </w:rPr>
        <w:t xml:space="preserve">Microservices Patterns: With Examples in Java</w:t>
      </w:r>
      <w:r>
        <w:t xml:space="preserve">. Manning Publications.</w:t>
      </w:r>
    </w:p>
    <w:p>
      <w:pPr>
        <w:pStyle w:val="BodyText"/>
      </w:pPr>
      <w:r>
        <w:t xml:space="preserve">Ken Schwaber and Jeff Sutherland. 2020.</w:t>
      </w:r>
      <w:r>
        <w:t xml:space="preserve"> </w:t>
      </w:r>
      <w:r>
        <w:rPr>
          <w:i/>
          <w:iCs/>
        </w:rPr>
        <w:t xml:space="preserve">The Scrum Guide: The Definitive Guide to Scrum: The Rules of the Game</w:t>
      </w:r>
      <w:r>
        <w:t xml:space="preserve">.</w:t>
      </w:r>
      <w:r>
        <w:t xml:space="preserve"> </w:t>
      </w:r>
      <w:hyperlink r:id="rId70">
        <w:r>
          <w:rPr>
            <w:rStyle w:val="Hyperlink"/>
          </w:rPr>
          <w:t xml:space="preserve">https://scrumguides.org/scrum-guide.html</w:t>
        </w:r>
      </w:hyperlink>
    </w:p>
    <w:p>
      <w:pPr>
        <w:pStyle w:val="BodyText"/>
      </w:pPr>
      <w:r>
        <w:t xml:space="preserve">Vehicle Washing Development Team. 2026a.</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w:t>
      </w:r>
    </w:p>
    <w:p>
      <w:pPr>
        <w:pStyle w:val="BodyText"/>
      </w:pPr>
      <w:r>
        <w:t xml:space="preserve">Vehicle Washing Development Team. 2026b.</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8">
        <w:r>
          <w:rPr>
            <w:rStyle w:val="Hyperlink"/>
          </w:rPr>
          <w:t xml:space="preserve">https://github.com/code-sena/vehicle-w-docs</w:t>
        </w:r>
      </w:hyperlink>
    </w:p>
    <w:bookmarkEnd w:id="111"/>
    <w:bookmarkStart w:id="113" w:name="appendix"/>
    <w:p>
      <w:pPr>
        <w:pStyle w:val="Heading2"/>
      </w:pPr>
      <w:r>
        <w:t xml:space="preserve">Appendix</w:t>
      </w:r>
    </w:p>
    <w:bookmarkStart w:id="112"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r>
        <w:t xml:space="preserve"> </w:t>
      </w:r>
      <w: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5 reports only what was run</w:t>
            </w:r>
          </w:p>
        </w:tc>
      </w:tr>
    </w:tbl>
    <w:p>
      <w:pPr>
        <w:pStyle w:val="BodyText"/>
      </w:pPr>
      <w:r>
        <w:rPr>
          <w:i/>
          <w:iCs/>
        </w:rPr>
        <w:t xml:space="preserve">Note.</w:t>
      </w:r>
      <w:r>
        <w:t xml:space="preserve"> </w:t>
      </w:r>
      <w:r>
        <w:t xml:space="preserve">Prepared by the authors from the review of the project folders.</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svg" /><Relationship Type="http://schemas.openxmlformats.org/officeDocument/2006/relationships/image" Id="rId38" Target="media/rId38.svg" /><Relationship Type="http://schemas.openxmlformats.org/officeDocument/2006/relationships/image" Id="rId97" Target="media/rId97.svg" /><Relationship Type="http://schemas.openxmlformats.org/officeDocument/2006/relationships/image" Id="rId42" Target="media/rId42.svg" /><Relationship Type="http://schemas.openxmlformats.org/officeDocument/2006/relationships/hyperlink" Id="rId57" Target="http://www.secretariasenado.gov.co/senado/basedoc/ley_1581_2012.html" TargetMode="External" /><Relationship Type="http://schemas.openxmlformats.org/officeDocument/2006/relationships/hyperlink" Id="rId56" Target="https://alistair.cockburn.us/hexagonal-architecture/" TargetMode="External" /><Relationship Type="http://schemas.openxmlformats.org/officeDocument/2006/relationships/hyperlink" Id="rId68" Target="https://cognitect.com/blog/2011/11/15/documenting-architecture-decisions" TargetMode="External" /><Relationship Type="http://schemas.openxmlformats.org/officeDocument/2006/relationships/hyperlink" Id="rId60" Target="https://doi.org/10.1109/IEEESTD.1998.88286" TargetMode="External" /><Relationship Type="http://schemas.openxmlformats.org/officeDocument/2006/relationships/hyperlink" Id="rId58"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9" Target="https://owasp.org/Top10/" TargetMode="External" /><Relationship Type="http://schemas.openxmlformats.org/officeDocument/2006/relationships/hyperlink" Id="rId70" Target="https://scrumguides.org/scrum-guide.html" TargetMode="External" /><Relationship Type="http://schemas.openxmlformats.org/officeDocument/2006/relationships/hyperlink" Id="rId61" Target="https://www.iso.org/standard/62085.html" TargetMode="External" /><Relationship Type="http://schemas.openxmlformats.org/officeDocument/2006/relationships/hyperlink" Id="rId62" Target="https://www.iso.org/standard/63712.html" TargetMode="External" /><Relationship Type="http://schemas.openxmlformats.org/officeDocument/2006/relationships/hyperlink" Id="rId65" Target="https://www.iso.org/standard/72089.html" TargetMode="External" /><Relationship Type="http://schemas.openxmlformats.org/officeDocument/2006/relationships/hyperlink" Id="rId64" Target="https://www.iso.org/standard/78176.html" TargetMode="External" /><Relationship Type="http://schemas.openxmlformats.org/officeDocument/2006/relationships/hyperlink" Id="rId63" Target="https://www.iso.org/standard/80710.html" TargetMode="External" /><Relationship Type="http://schemas.openxmlformats.org/officeDocument/2006/relationships/hyperlink" Id="rId66" Target="https://www.rfc-editor.org/rfc/rfc7519" TargetMode="External" /><Relationship Type="http://schemas.openxmlformats.org/officeDocument/2006/relationships/hyperlink" Id="rId67"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7" Target="http://www.secretariasenado.gov.co/senado/basedoc/ley_1581_2012.html" TargetMode="External" /><Relationship Type="http://schemas.openxmlformats.org/officeDocument/2006/relationships/hyperlink" Id="rId56" Target="https://alistair.cockburn.us/hexagonal-architecture/" TargetMode="External" /><Relationship Type="http://schemas.openxmlformats.org/officeDocument/2006/relationships/hyperlink" Id="rId68" Target="https://cognitect.com/blog/2011/11/15/documenting-architecture-decisions" TargetMode="External" /><Relationship Type="http://schemas.openxmlformats.org/officeDocument/2006/relationships/hyperlink" Id="rId60" Target="https://doi.org/10.1109/IEEESTD.1998.88286" TargetMode="External" /><Relationship Type="http://schemas.openxmlformats.org/officeDocument/2006/relationships/hyperlink" Id="rId58"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9" Target="https://owasp.org/Top10/" TargetMode="External" /><Relationship Type="http://schemas.openxmlformats.org/officeDocument/2006/relationships/hyperlink" Id="rId70" Target="https://scrumguides.org/scrum-guide.html" TargetMode="External" /><Relationship Type="http://schemas.openxmlformats.org/officeDocument/2006/relationships/hyperlink" Id="rId61" Target="https://www.iso.org/standard/62085.html" TargetMode="External" /><Relationship Type="http://schemas.openxmlformats.org/officeDocument/2006/relationships/hyperlink" Id="rId62" Target="https://www.iso.org/standard/63712.html" TargetMode="External" /><Relationship Type="http://schemas.openxmlformats.org/officeDocument/2006/relationships/hyperlink" Id="rId65" Target="https://www.iso.org/standard/72089.html" TargetMode="External" /><Relationship Type="http://schemas.openxmlformats.org/officeDocument/2006/relationships/hyperlink" Id="rId64" Target="https://www.iso.org/standard/78176.html" TargetMode="External" /><Relationship Type="http://schemas.openxmlformats.org/officeDocument/2006/relationships/hyperlink" Id="rId63" Target="https://www.iso.org/standard/80710.html" TargetMode="External" /><Relationship Type="http://schemas.openxmlformats.org/officeDocument/2006/relationships/hyperlink" Id="rId66" Target="https://www.rfc-editor.org/rfc/rfc7519" TargetMode="External" /><Relationship Type="http://schemas.openxmlformats.org/officeDocument/2006/relationships/hyperlink" Id="rId67"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2026-10-19T14:36:33Z</dcterms:created>
  <dcterms:modified xsi:type="dcterms:W3CDTF">2026-10-19T14:36:33Z</dcterms:modified>
</cp:coreProperties>
</file>

<file path=docProps/custom.xml><?xml version="1.0" encoding="utf-8"?>
<Properties xmlns="http://schemas.openxmlformats.org/officeDocument/2006/custom-properties" xmlns:vt="http://schemas.openxmlformats.org/officeDocument/2006/docPropsVTypes"/>
</file>