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5.png" ContentType="image/png"/>
  <Override PartName="/word/media/rId59.png" ContentType="image/png"/>
  <Override PartName="/word/media/rId62.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83.png" ContentType="image/png"/>
  <Override PartName="/word/media/rId95.png" ContentType="image/png"/>
  <Override PartName="/word/media/rId104.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73.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2.3, 20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20 de octubre de 2026 el contenido se revisó otra vez contra el código: el cliente solo cancela (la reprogramación la hace el administrador), se quitó el cambio de rol de las cuentas, se corrigieron las secuencias y los estados que no coincidían, y los casos de uso y diagramas se dibujaron de nuevo con líneas rectas y sin cruces. El 19 de octubre de 2026 se agregaron los casos de uso CU31 y CU32, la recuperación de la contraseña (sección 2.10) y el ciclo de vida de la cuenta (sección 4.6), y las capturas del inventario de pantallas se tomaron de nuevo con datos de demostración. 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35" w:name="Xa8721324a437904da6322fd65c65f4e0e6217fd"/>
    <w:p>
      <w:pPr>
        <w:pStyle w:val="Heading2"/>
      </w:pPr>
      <w:r>
        <w:t xml:space="preserve">1. Casos de Uso por Actor</w:t>
      </w:r>
    </w:p>
    <w:bookmarkStart w:id="33" w:name="Xee4c8a16250094bac38f8aa6235b6fc16b58320"/>
    <w:p>
      <w:pPr>
        <w:pStyle w:val="Heading3"/>
      </w:pPr>
      <w:r>
        <w:t xml:space="preserve">1.1 Diagrama de Casos de Uso</w:t>
      </w:r>
    </w:p>
    <w:p>
      <w:pPr>
        <w:pStyle w:val="FirstParagraph"/>
      </w:pPr>
      <w:r>
        <w:t xml:space="preserve">Los 32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6083404"/>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4454887"/>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454887"/>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2383816"/>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383816"/>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8034476"/>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034476"/>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y CU32 agrupa los procesos que corren sin que nadie los pida (recordatorios, alertas, avisos y primer administrador). El cliente no registra el informe de inspección (CU30): lo consulta por el enlace que le comparte el administrador. En CU07 el cliente cancela desde el historial o la pantalla de pago; la nueva fecha u hora la fija el administrador desde Reservas (CU29), porque ni la web ni la app tienen una pantalla de reprogramación para el cliente. En CU27 el rol se elige al crear la cuenta; la lista de usuarios no lo cambia.</w:t>
      </w:r>
    </w:p>
    <w:bookmarkEnd w:id="33"/>
    <w:bookmarkStart w:id="34"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p>
      <w:pPr>
        <w:pStyle w:val="BodyText"/>
      </w:pPr>
      <w:r>
        <w:t xml:space="preserve">La especificación de cada uno de los 32 casos de uso (precondición, flujo normal, flujos alternos, postcondición, estado) está en el</w:t>
      </w:r>
      <w:r>
        <w:t xml:space="preserve"> </w:t>
      </w:r>
      <w:r>
        <w:rPr>
          <w:i/>
          <w:iCs/>
        </w:rPr>
        <w:t xml:space="preserve">Informe de especificación de requisitos</w:t>
      </w:r>
      <w:r>
        <w:t xml:space="preserve">, Tablas 23 a 54.</w:t>
      </w:r>
    </w:p>
    <w:p>
      <w:r>
        <w:pict>
          <v:rect style="width:0;height:1.5pt" o:hralign="center" o:hrstd="t" o:hr="t"/>
        </w:pict>
      </w:r>
    </w:p>
    <w:bookmarkEnd w:id="34"/>
    <w:bookmarkEnd w:id="35"/>
    <w:bookmarkStart w:id="76"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39" w:name="Xcee6239e948e329886b6faef9439f5fbd3f9924"/>
    <w:p>
      <w:pPr>
        <w:pStyle w:val="Heading3"/>
      </w:pPr>
      <w:r>
        <w:t xml:space="preserve">2.1 Registro y bienvenida (RF-001, RF-018)</w:t>
      </w:r>
    </w:p>
    <w:p>
      <w:pPr>
        <w:pStyle w:val="FirstParagraph"/>
      </w:pPr>
      <w:r>
        <w:drawing>
          <wp:inline>
            <wp:extent cx="5334000" cy="1673678"/>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67367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39"/>
    <w:bookmarkStart w:id="43" w:name="X5efddea0ff05e33e38b52fd9cc3e206729e3b97"/>
    <w:p>
      <w:pPr>
        <w:pStyle w:val="Heading3"/>
      </w:pPr>
      <w:r>
        <w:t xml:space="preserve">2.2 Reservar un lavado (RF-005, RF-006, RF-010)</w:t>
      </w:r>
    </w:p>
    <w:p>
      <w:pPr>
        <w:pStyle w:val="FirstParagraph"/>
      </w:pPr>
      <w:r>
        <w:drawing>
          <wp:inline>
            <wp:extent cx="5334000" cy="2268991"/>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6899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43"/>
    <w:bookmarkStart w:id="47" w:name="X205a1ea4b9f3475bcd5330b7b5a94caaf5ba7f3"/>
    <w:p>
      <w:pPr>
        <w:pStyle w:val="Heading3"/>
      </w:pPr>
      <w:r>
        <w:t xml:space="preserve">2.3 Recordatorios y alerta de reserva sin operario (ADR-011)</w:t>
      </w:r>
    </w:p>
    <w:p>
      <w:pPr>
        <w:pStyle w:val="FirstParagraph"/>
      </w:pPr>
      <w:r>
        <w:drawing>
          <wp:inline>
            <wp:extent cx="5334000" cy="1367517"/>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6751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47"/>
    <w:bookmarkStart w:id="51"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218089"/>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21808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0ca5df111426565d1ae02bf343c21ed85e6457c"/>
    <w:p>
      <w:pPr>
        <w:pStyle w:val="Heading3"/>
      </w:pPr>
      <w:r>
        <w:t xml:space="preserve">2.5 Pago por comprobante y revisión (RF-013, RF-013b, RF-014)</w:t>
      </w:r>
    </w:p>
    <w:p>
      <w:pPr>
        <w:pStyle w:val="FirstParagraph"/>
      </w:pPr>
      <w:r>
        <w:drawing>
          <wp:inline>
            <wp:extent cx="5334000" cy="3201080"/>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20108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 agregado</w:t>
      </w:r>
      <w:r>
        <w:t xml:space="preserve"> </w:t>
      </w:r>
      <w:r>
        <w:rPr>
          <w:rStyle w:val="VerbatimChar"/>
        </w:rPr>
        <w:t xml:space="preserve">Payment</w:t>
      </w:r>
      <w:r>
        <w:t xml:space="preserve">, ADR-008, ADR-013). notification-service convierte cada evento</w:t>
      </w:r>
      <w:r>
        <w:t xml:space="preserve"> </w:t>
      </w:r>
      <w:r>
        <w:rPr>
          <w:rStyle w:val="VerbatimChar"/>
        </w:rPr>
        <w:t xml:space="preserve">payment.*</w:t>
      </w:r>
      <w:r>
        <w:t xml:space="preserve"> </w:t>
      </w:r>
      <w:r>
        <w:t xml:space="preserve">en un aviso para el cliente.</w:t>
      </w:r>
    </w:p>
    <w:bookmarkEnd w:id="55"/>
    <w:bookmarkStart w:id="59" w:name="X6f708d947f725c5dddde858140f6e44bb4cad97"/>
    <w:p>
      <w:pPr>
        <w:pStyle w:val="Heading3"/>
      </w:pPr>
      <w:r>
        <w:t xml:space="preserve">2.6 Canje de cupón y puntos de fidelización (RF-024, RF-025, RF-026)</w:t>
      </w:r>
    </w:p>
    <w:p>
      <w:pPr>
        <w:pStyle w:val="FirstParagraph"/>
      </w:pPr>
      <w:r>
        <w:drawing>
          <wp:inline>
            <wp:extent cx="5334000" cy="1976437"/>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97643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59"/>
    <w:bookmarkStart w:id="63" w:name="X86aa3a933aae0319c1f558f18604a74c300821e"/>
    <w:p>
      <w:pPr>
        <w:pStyle w:val="Heading3"/>
      </w:pPr>
      <w:r>
        <w:t xml:space="preserve">2.7 Gestión de roles y permisos (RF-029)</w:t>
      </w:r>
    </w:p>
    <w:p>
      <w:pPr>
        <w:pStyle w:val="FirstParagraph"/>
      </w:pPr>
      <w:r>
        <w:drawing>
          <wp:inline>
            <wp:extent cx="5334000" cy="1925410"/>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92541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63"/>
    <w:bookmarkStart w:id="67" w:name="X69a3eb697ee00fcfd6b51fcb2aa4080c36f05d9"/>
    <w:p>
      <w:pPr>
        <w:pStyle w:val="Heading3"/>
      </w:pPr>
      <w:r>
        <w:t xml:space="preserve">2.8 Inicio de sesión con bloqueo por intentos fallidos (RF-002, RF-004b)</w:t>
      </w:r>
    </w:p>
    <w:p>
      <w:pPr>
        <w:pStyle w:val="FirstParagraph"/>
      </w:pPr>
      <w:r>
        <w:drawing>
          <wp:inline>
            <wp:extent cx="5334000" cy="2194151"/>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219415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w:t>
      </w:r>
    </w:p>
    <w:bookmarkEnd w:id="67"/>
    <w:bookmarkStart w:id="71" w:name="X3cc633641e743d2020a61d97726ea9a489d5d85"/>
    <w:p>
      <w:pPr>
        <w:pStyle w:val="Heading3"/>
      </w:pPr>
      <w:r>
        <w:t xml:space="preserve">2.9 Informe de inspección del vehículo (RF-036)</w:t>
      </w:r>
    </w:p>
    <w:p>
      <w:pPr>
        <w:pStyle w:val="FirstParagraph"/>
      </w:pPr>
      <w:r>
        <w:drawing>
          <wp:inline>
            <wp:extent cx="5334000" cy="1942419"/>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94241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bookmarkEnd w:id="71"/>
    <w:bookmarkStart w:id="75" w:name="X1cee488d37bf2dd57ea42fd5b784c8c05411ff3"/>
    <w:p>
      <w:pPr>
        <w:pStyle w:val="Heading3"/>
      </w:pPr>
      <w:r>
        <w:t xml:space="preserve">2.10 Recuperación de la contraseña con un código de 6 dígitos (RF-003)</w:t>
      </w:r>
    </w:p>
    <w:p>
      <w:pPr>
        <w:pStyle w:val="FirstParagraph"/>
      </w:pPr>
      <w:r>
        <w:drawing>
          <wp:inline>
            <wp:extent cx="5334000" cy="3364366"/>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36436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con</w:t>
      </w:r>
      <w:r>
        <w:t xml:space="preserve"> </w:t>
      </w:r>
      <w:r>
        <w:rPr>
          <w:rStyle w:val="VerbatimChar"/>
        </w:rPr>
        <w:t xml:space="preserve">code-ttl: 15m</w:t>
      </w:r>
      <w:r>
        <w:t xml:space="preserve"> </w:t>
      </w:r>
      <w:r>
        <w:t xml:space="preserve">y</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La respuesta de</w:t>
      </w:r>
      <w:r>
        <w:t xml:space="preserve"> </w:t>
      </w:r>
      <w:r>
        <w:rPr>
          <w:i/>
          <w:iCs/>
        </w:rPr>
        <w:t xml:space="preserve">forgot</w:t>
      </w:r>
      <w:r>
        <w:t xml:space="preserve"> </w:t>
      </w:r>
      <w:r>
        <w:t xml:space="preserve">no revela si el correo existe.</w:t>
      </w:r>
    </w:p>
    <w:p>
      <w:r>
        <w:pict>
          <v:rect style="width:0;height:1.5pt" o:hralign="center" o:hrstd="t" o:hr="t"/>
        </w:pict>
      </w:r>
    </w:p>
    <w:bookmarkEnd w:id="75"/>
    <w:bookmarkEnd w:id="76"/>
    <w:bookmarkStart w:id="101"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80" w:name="X1f284573d81bb5c136218e1b87e24795699b52a"/>
    <w:p>
      <w:pPr>
        <w:pStyle w:val="Heading3"/>
      </w:pPr>
      <w:r>
        <w:t xml:space="preserve">3.1 Autenticación (RF-001 a RF-004)</w:t>
      </w:r>
    </w:p>
    <w:p>
      <w:pPr>
        <w:pStyle w:val="FirstParagraph"/>
      </w:pPr>
      <w:r>
        <w:drawing>
          <wp:inline>
            <wp:extent cx="5334000" cy="5187723"/>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187723"/>
                    </a:xfrm>
                    <a:prstGeom prst="rect">
                      <a:avLst/>
                    </a:prstGeom>
                    <a:noFill/>
                    <a:ln w="9525">
                      <a:noFill/>
                      <a:headEnd/>
                      <a:tailEnd/>
                    </a:ln>
                  </pic:spPr>
                </pic:pic>
              </a:graphicData>
            </a:graphic>
          </wp:inline>
        </w:drawing>
      </w:r>
    </w:p>
    <w:bookmarkEnd w:id="80"/>
    <w:bookmarkStart w:id="84" w:name="X2740cd5028e1655b5263893495272457e5a3e42"/>
    <w:p>
      <w:pPr>
        <w:pStyle w:val="Heading3"/>
      </w:pPr>
      <w:r>
        <w:t xml:space="preserve">3.2 Reservar un lavado (RF-005, RF-006, RF-007, RF-010)</w:t>
      </w:r>
    </w:p>
    <w:p>
      <w:pPr>
        <w:pStyle w:val="FirstParagraph"/>
      </w:pPr>
      <w:r>
        <w:drawing>
          <wp:inline>
            <wp:extent cx="5334000" cy="13444059"/>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3444059"/>
                    </a:xfrm>
                    <a:prstGeom prst="rect">
                      <a:avLst/>
                    </a:prstGeom>
                    <a:noFill/>
                    <a:ln w="9525">
                      <a:noFill/>
                      <a:headEnd/>
                      <a:tailEnd/>
                    </a:ln>
                  </pic:spPr>
                </pic:pic>
              </a:graphicData>
            </a:graphic>
          </wp:inline>
        </w:drawing>
      </w:r>
    </w:p>
    <w:bookmarkEnd w:id="84"/>
    <w:bookmarkStart w:id="88" w:name="X8973089ab77541f6c985db4d2f7f8390f1e50e3"/>
    <w:p>
      <w:pPr>
        <w:pStyle w:val="Heading3"/>
      </w:pPr>
      <w:r>
        <w:t xml:space="preserve">3.3 Asignación de operario y ejecución del servicio (RF-008, RF-009, RF-010, RF-011, RF-012b)</w:t>
      </w:r>
    </w:p>
    <w:p>
      <w:pPr>
        <w:pStyle w:val="FirstParagraph"/>
      </w:pPr>
      <w:r>
        <w:drawing>
          <wp:inline>
            <wp:extent cx="5334000" cy="11799871"/>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1799871"/>
                    </a:xfrm>
                    <a:prstGeom prst="rect">
                      <a:avLst/>
                    </a:prstGeom>
                    <a:noFill/>
                    <a:ln w="9525">
                      <a:noFill/>
                      <a:headEnd/>
                      <a:tailEnd/>
                    </a:ln>
                  </pic:spPr>
                </pic:pic>
              </a:graphicData>
            </a:graphic>
          </wp:inline>
        </w:drawing>
      </w:r>
    </w:p>
    <w:bookmarkEnd w:id="88"/>
    <w:bookmarkStart w:id="92" w:name="X62bf062de62fc9d54589e4415f9ba12198a3309"/>
    <w:p>
      <w:pPr>
        <w:pStyle w:val="Heading3"/>
      </w:pPr>
      <w:r>
        <w:t xml:space="preserve">3.4 Pagar una reserva (RF-013, RF-013b, RF-014, RF-016)</w:t>
      </w:r>
    </w:p>
    <w:p>
      <w:pPr>
        <w:pStyle w:val="FirstParagraph"/>
      </w:pPr>
      <w:r>
        <w:drawing>
          <wp:inline>
            <wp:extent cx="5334000" cy="11541374"/>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1541374"/>
                    </a:xfrm>
                    <a:prstGeom prst="rect">
                      <a:avLst/>
                    </a:prstGeom>
                    <a:noFill/>
                    <a:ln w="9525">
                      <a:noFill/>
                      <a:headEnd/>
                      <a:tailEnd/>
                    </a:ln>
                  </pic:spPr>
                </pic:pic>
              </a:graphicData>
            </a:graphic>
          </wp:inline>
        </w:drawing>
      </w:r>
    </w:p>
    <w:bookmarkEnd w:id="92"/>
    <w:bookmarkStart w:id="96" w:name="X0e4a6f916d0b51c629cb651339d34a7f7d1663b"/>
    <w:p>
      <w:pPr>
        <w:pStyle w:val="Heading3"/>
      </w:pPr>
      <w:r>
        <w:t xml:space="preserve">3.5 Canjear un cupón de fidelización (RF-024, RF-025, RF-026)</w:t>
      </w:r>
    </w:p>
    <w:p>
      <w:pPr>
        <w:pStyle w:val="FirstParagraph"/>
      </w:pPr>
      <w:r>
        <w:drawing>
          <wp:inline>
            <wp:extent cx="5334000" cy="12976322"/>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2976322"/>
                    </a:xfrm>
                    <a:prstGeom prst="rect">
                      <a:avLst/>
                    </a:prstGeom>
                    <a:noFill/>
                    <a:ln w="9525">
                      <a:noFill/>
                      <a:headEnd/>
                      <a:tailEnd/>
                    </a:ln>
                  </pic:spPr>
                </pic:pic>
              </a:graphicData>
            </a:graphic>
          </wp:inline>
        </w:drawing>
      </w:r>
    </w:p>
    <w:bookmarkEnd w:id="96"/>
    <w:bookmarkStart w:id="100" w:name="X2bf83e497701416652f1578ded07f692fac556d"/>
    <w:p>
      <w:pPr>
        <w:pStyle w:val="Heading3"/>
      </w:pPr>
      <w:r>
        <w:t xml:space="preserve">3.6 Gestionar roles y permisos (RF-029)</w:t>
      </w:r>
    </w:p>
    <w:p>
      <w:pPr>
        <w:pStyle w:val="FirstParagraph"/>
      </w:pPr>
      <w:r>
        <w:drawing>
          <wp:inline>
            <wp:extent cx="5334000" cy="8870189"/>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8870189"/>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97bc4fdad9a611ce0b8265b9b3452e97fdfc62f"/>
    <w:p>
      <w:pPr>
        <w:pStyle w:val="Heading2"/>
      </w:pPr>
      <w:r>
        <w:t xml:space="preserve">4. Diagramas de Estados</w:t>
      </w:r>
    </w:p>
    <w:bookmarkStart w:id="105" w:name="Xf71891fd3a2849a851ecd1543ade26837098a82"/>
    <w:p>
      <w:pPr>
        <w:pStyle w:val="Heading3"/>
      </w:pPr>
      <w:r>
        <w:t xml:space="preserve">4.1 Ciclo de vida de la reserva (RF-006, RF-007)</w:t>
      </w:r>
    </w:p>
    <w:p>
      <w:pPr>
        <w:pStyle w:val="FirstParagraph"/>
      </w:pPr>
      <w:r>
        <w:drawing>
          <wp:inline>
            <wp:extent cx="5334000" cy="6511636"/>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651163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 El cliente solo cancela, antes de la hora de inicio y sin escribir motivo (la reserva guarda</w:t>
      </w:r>
      <w:r>
        <w:t xml:space="preserve"> </w:t>
      </w:r>
      <w:r>
        <w:rPr>
          <w:rStyle w:val="VerbatimChar"/>
        </w:rPr>
        <w:t xml:space="preserve">CUSTOMER_REQUEST</w:t>
      </w:r>
      <w:r>
        <w:t xml:space="preserve">); el administrador reprograma (CU29) y puede elegir el motivo de la cancelación.</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105"/>
    <w:bookmarkStart w:id="109" w:name="Xff105dada339f18a457676c6cb76bf9efd36a05"/>
    <w:p>
      <w:pPr>
        <w:pStyle w:val="Heading3"/>
      </w:pPr>
      <w:r>
        <w:t xml:space="preserve">4.2 Ciclo de vida del pago (RF-013b, RF-014, ADR-008)</w:t>
      </w:r>
    </w:p>
    <w:p>
      <w:pPr>
        <w:pStyle w:val="FirstParagraph"/>
      </w:pPr>
      <w:r>
        <w:drawing>
          <wp:inline>
            <wp:extent cx="5334000" cy="9172027"/>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 El pago del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el pago en efectivo que registra el administrador queda</w:t>
      </w:r>
      <w:r>
        <w:t xml:space="preserve"> </w:t>
      </w:r>
      <w:r>
        <w:rPr>
          <w:rStyle w:val="VerbatimChar"/>
        </w:rPr>
        <w:t xml:space="preserve">APPROVED</w:t>
      </w:r>
      <w:r>
        <w:t xml:space="preserve"> </w:t>
      </w:r>
      <w:r>
        <w:t xml:space="preserve">de una vez.</w:t>
      </w:r>
    </w:p>
    <w:bookmarkEnd w:id="109"/>
    <w:bookmarkStart w:id="113" w:name="Xc941ef056221fe0094e42a916a1152f0ff601be"/>
    <w:p>
      <w:pPr>
        <w:pStyle w:val="Heading3"/>
      </w:pPr>
      <w:r>
        <w:t xml:space="preserve">4.3 Ciclo de vida de la ejecución del servicio (RF-012b)</w:t>
      </w:r>
    </w:p>
    <w:p>
      <w:pPr>
        <w:pStyle w:val="FirstParagraph"/>
      </w:pPr>
      <w:r>
        <w:drawing>
          <wp:inline>
            <wp:extent cx="5334000" cy="8094814"/>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809481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COMPLETED</w:t>
      </w:r>
      <w:r>
        <w:t xml:space="preserve"> </w:t>
      </w:r>
      <w:r>
        <w:t xml:space="preserve">habilita la calificación del cliente (RF-012).</w:t>
      </w:r>
      <w:r>
        <w:t xml:space="preserve"> </w:t>
      </w:r>
      <w:r>
        <w:rPr>
          <w:rStyle w:val="VerbatimChar"/>
        </w:rPr>
        <w:t xml:space="preserve">PAUSED</w:t>
      </w:r>
      <w:r>
        <w:t xml:space="preserve"> </w:t>
      </w:r>
      <w:r>
        <w:t xml:space="preserve">y</w:t>
      </w:r>
      <w:r>
        <w:t xml:space="preserve"> </w:t>
      </w:r>
      <w:r>
        <w:rPr>
          <w:rStyle w:val="VerbatimChar"/>
        </w:rPr>
        <w:t xml:space="preserve">WITH_ISSUE</w:t>
      </w:r>
      <w:r>
        <w:t xml:space="preserve"> </w:t>
      </w:r>
      <w:r>
        <w:t xml:space="preserve">existen en el catálogo</w:t>
      </w:r>
      <w:r>
        <w:t xml:space="preserve"> </w:t>
      </w:r>
      <w:r>
        <w:rPr>
          <w:rStyle w:val="VerbatimChar"/>
        </w:rPr>
        <w:t xml:space="preserve">execution.execution_status</w:t>
      </w:r>
      <w:r>
        <w:t xml:space="preserve">, pero ningún caso de uso los usa hoy.</w:t>
      </w:r>
    </w:p>
    <w:bookmarkEnd w:id="113"/>
    <w:bookmarkStart w:id="117" w:name="Xba7149c0d4a8d03921da492dee044de37ee2f58"/>
    <w:p>
      <w:pPr>
        <w:pStyle w:val="Heading3"/>
      </w:pPr>
      <w:r>
        <w:t xml:space="preserve">4.4 Ciclo de vida de una promoción (RF-024)</w:t>
      </w:r>
    </w:p>
    <w:p>
      <w:pPr>
        <w:pStyle w:val="FirstParagraph"/>
      </w:pPr>
      <w:r>
        <w:drawing>
          <wp:inline>
            <wp:extent cx="5334000" cy="6619630"/>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661963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Lo único que se guarda es si está activa o pausada; la pantalla del administrador muestra "programada" mientras no llega la fecha de inicio. Solo se puede canjear una promoción activa y dentro de su vigencia (RF-024, RN-PROMO-01): pasada la fecha de fin ya no se ofrece ni se canjea, aunque no tiene un estado "vencida" guardado.</w:t>
      </w:r>
    </w:p>
    <w:bookmarkEnd w:id="117"/>
    <w:bookmarkStart w:id="121" w:name="X64d3cfc8720aafaa743bfd74aa617a739ea6d52"/>
    <w:p>
      <w:pPr>
        <w:pStyle w:val="Heading3"/>
      </w:pPr>
      <w:r>
        <w:t xml:space="preserve">4.5 Informe de inspección y sus fases (RF-036)</w:t>
      </w:r>
    </w:p>
    <w:p>
      <w:pPr>
        <w:pStyle w:val="FirstParagraph"/>
      </w:pPr>
      <w:r>
        <w:drawing>
          <wp:inline>
            <wp:extent cx="5334000" cy="7239535"/>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723953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 y se edita mientras la reserva siga Confirmada o En proceso.</w:t>
      </w:r>
    </w:p>
    <w:bookmarkEnd w:id="121"/>
    <w:bookmarkStart w:id="125" w:name="X4e827f5612f5a6c291f336633da59e56896c66f"/>
    <w:p>
      <w:pPr>
        <w:pStyle w:val="Heading3"/>
      </w:pPr>
      <w:r>
        <w:t xml:space="preserve">4.6 Cuenta de usuario (RF-002, RF-004b, RF-027, RF-028)</w:t>
      </w:r>
    </w:p>
    <w:p>
      <w:pPr>
        <w:pStyle w:val="FirstParagraph"/>
      </w:pPr>
      <w:r>
        <w:drawing>
          <wp:inline>
            <wp:extent cx="5334000" cy="6296044"/>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629604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Un ingreso correcto antes del quinto intento borra el conteo de fallos. El usuario cierra su cuenta con la contraseña. Una cuenta bloqueada responde 423 aun con la contraseña correcta; una inactiva responde 403 después de validar la contraseña. Ninguna cuenta de administrador se puede desactivar (403</w:t>
      </w:r>
      <w:r>
        <w:t xml:space="preserve"> </w:t>
      </w:r>
      <w:r>
        <w:rPr>
          <w:rStyle w:val="VerbatimChar"/>
        </w:rPr>
        <w:t xml:space="preserve">ADMIN_CANNOT_BE_DISABLED</w:t>
      </w:r>
      <w:r>
        <w:t xml:space="preserve">) y un administrador no puede desactivar ni cerrar su propia cuenta (403</w:t>
      </w:r>
      <w:r>
        <w:t xml:space="preserve"> </w:t>
      </w:r>
      <w:r>
        <w:rPr>
          <w:rStyle w:val="VerbatimChar"/>
        </w:rPr>
        <w:t xml:space="preserve">CANNOT_DISABLE_OWN_ACCOUNT</w:t>
      </w:r>
      <w:r>
        <w:t xml:space="preserve">). Cada cuenta tiene un solo rol, fijado al crearla: no hay cambio de rol.</w:t>
      </w:r>
    </w:p>
    <w:p>
      <w:r>
        <w:pict>
          <v:rect style="width:0;height:1.5pt" o:hralign="center" o:hrstd="t" o:hr="t"/>
        </w:pict>
      </w:r>
    </w:p>
    <w:bookmarkEnd w:id="125"/>
    <w:bookmarkEnd w:id="126"/>
    <w:bookmarkStart w:id="254"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 La captura de Gestión → Usuarios se tomó de nuevo el 20 de octubre de 2026: la tabla solo muestra el tipo de usuario y tiene los filtros Habilitados e Inhabilitados. Desde el 20 de octubre, al hacer clic en una notificación o en una reserva del historial se abre su detalle, con un botón para ir al apartado correspondiente (por ejemplo,</w:t>
      </w:r>
      <w:r>
        <w:t xml:space="preserve"> </w:t>
      </w:r>
      <w:r>
        <w:rPr>
          <w:b/>
          <w:bCs/>
        </w:rPr>
        <w:t xml:space="preserve">Ir al pago</w:t>
      </w:r>
      <w:r>
        <w:t xml:space="preserve">).</w:t>
      </w:r>
    </w:p>
    <w:bookmarkStart w:id="136"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201961"/>
                  <wp:effectExtent b="0" l="0" r="0" t="0"/>
                  <wp:docPr descr="Log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5076281"/>
                  <wp:effectExtent b="0" l="0" r="0" t="0"/>
                  <wp:docPr descr="Registro"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201961"/>
                  <wp:effectExtent b="0" l="0" r="0" t="0"/>
                  <wp:docPr descr="Recuperar"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4556938"/>
                  <wp:effectExtent b="0" l="0" r="0" t="0"/>
                  <wp:docPr descr="Dashboard admin"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201961"/>
                  <wp:effectExtent b="0" l="0" r="0" t="0"/>
                  <wp:docPr descr="Usuario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9804400"/>
                  <wp:effectExtent b="0" l="0" r="0" t="0"/>
                  <wp:docPr descr="Modal crear usuario"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4800600"/>
                  <wp:effectExtent b="0" l="0" r="0" t="0"/>
                  <wp:docPr descr="Modal editar permisos"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201961"/>
                  <wp:effectExtent b="0" l="0" r="0" t="0"/>
                  <wp:docPr descr="Catálogo"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7029450"/>
                  <wp:effectExtent b="0" l="0" r="0" t="0"/>
                  <wp:docPr descr="Modal agregar servicio"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201961"/>
                  <wp:effectExtent b="0" l="0" r="0" t="0"/>
                  <wp:docPr descr="Promocione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6934200"/>
                  <wp:effectExtent b="0" l="0" r="0" t="0"/>
                  <wp:docPr descr="Modal crear promoción"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4588177"/>
                  <wp:effectExtent b="0" l="0" r="0" t="0"/>
                  <wp:docPr descr="Horarios y bahía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4388427"/>
                  <wp:effectExtent b="0" l="0" r="0" t="0"/>
                  <wp:docPr descr="Modal agregar excepción"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201961"/>
                  <wp:effectExtent b="0" l="0" r="0" t="0"/>
                  <wp:docPr descr="Operario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9804400"/>
                  <wp:effectExtent b="0" l="0" r="0" t="0"/>
                  <wp:docPr descr="Modal nuevo operario"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201961"/>
                  <wp:effectExtent b="0" l="0" r="0" t="0"/>
                  <wp:docPr descr="Reserva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6877050"/>
                  <wp:effectExtent b="0" l="0" r="0" t="0"/>
                  <wp:docPr descr="Modal asignar operario"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877050"/>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333750"/>
                  <wp:effectExtent b="0" l="0" r="0" t="0"/>
                  <wp:docPr descr="Pago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4185138"/>
                  <wp:effectExtent b="0" l="0" r="0" t="0"/>
                  <wp:docPr descr="Modal registrar pago"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4154740"/>
                  <wp:effectExtent b="0" l="0" r="0" t="0"/>
                  <wp:docPr descr="Reporte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4431983"/>
                  <wp:effectExtent b="0" l="0" r="0" t="0"/>
                  <wp:docPr descr="Cuentas de pago"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080000" cy="7188200"/>
                  <wp:effectExtent b="0" l="0" r="0" t="0"/>
                  <wp:docPr descr="Modal cuenta de pago"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admin"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201961"/>
                  <wp:effectExtent b="0" l="0" r="0" t="0"/>
                  <wp:docPr descr="Perfil admin"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201961"/>
                  <wp:effectExtent b="0" l="0" r="0" t="0"/>
                  <wp:docPr descr="Dashboard cliente"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4318000" cy="6883400"/>
                  <wp:effectExtent b="0" l="0" r="0" t="0"/>
                  <wp:docPr descr="Modal detalle reserva"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201961"/>
                  <wp:effectExtent b="0" l="0" r="0" t="0"/>
                  <wp:docPr descr="Vehículo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4819650"/>
                  <wp:effectExtent b="0" l="0" r="0" t="0"/>
                  <wp:docPr descr="Modal registrar vehículo"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4623320"/>
                  <wp:effectExtent b="0" l="0" r="0" t="0"/>
                  <wp:docPr descr="Reservar"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5751816"/>
                  <wp:effectExtent b="0" l="0" r="0" t="0"/>
                  <wp:docPr descr="Historial"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201961"/>
                  <wp:effectExtent b="0" l="0" r="0" t="0"/>
                  <wp:docPr descr="Pago"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4927600" cy="3200400"/>
                  <wp:effectExtent b="0" l="0" r="0" t="0"/>
                  <wp:docPr descr="Modal cancelar reserva"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cliente"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201961"/>
                  <wp:effectExtent b="0" l="0" r="0" t="0"/>
                  <wp:docPr descr="Configuración"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201961"/>
                  <wp:effectExtent b="0" l="0" r="0" t="0"/>
                  <wp:docPr descr="Panel operario"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201961"/>
                  <wp:effectExtent b="0" l="0" r="0" t="0"/>
                  <wp:docPr descr="Servicios asignado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201961"/>
                  <wp:effectExtent b="0" l="0" r="0" t="0"/>
                  <wp:docPr descr="Mi agenda"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369869"/>
                  <wp:effectExtent b="0" l="0" r="0" t="0"/>
                  <wp:docPr descr="Historial operario"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3369869"/>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4143026"/>
                  <wp:effectExtent b="0" l="0" r="0" t="0"/>
                  <wp:docPr descr="Calificacione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4143026"/>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2026-10-20T21:40:21Z</dcterms:created>
  <dcterms:modified xsi:type="dcterms:W3CDTF">2026-10-20T21:40:21Z</dcterms:modified>
</cp:coreProperties>
</file>

<file path=docProps/custom.xml><?xml version="1.0" encoding="utf-8"?>
<Properties xmlns="http://schemas.openxmlformats.org/officeDocument/2006/custom-properties" xmlns:vt="http://schemas.openxmlformats.org/officeDocument/2006/docPropsVTypes"/>
</file>