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21 de octubre de 2026</w:t>
      </w:r>
    </w:p>
    <w:p>
      <w:pPr>
        <w:pStyle w:val="BodyText"/>
      </w:pPr>
      <w:r>
        <w:t xml:space="preserve">Tipo de manual: Manual de instalación (personal de infraestructura y DevOps) · Versión 4.5</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se actualizó el alcance y se retiró del Anexo B.</w:t>
            </w:r>
          </w:p>
        </w:tc>
        <w:tc>
          <w:tcPr/>
          <w:p>
            <w:pPr>
              <w:pStyle w:val="Compact"/>
            </w:pPr>
            <w:r>
              <w:t xml:space="preserve">Equipo de desarrollo</w:t>
            </w:r>
          </w:p>
        </w:tc>
      </w:tr>
      <w:tr>
        <w:tc>
          <w:tcPr/>
          <w:p>
            <w:pPr>
              <w:pStyle w:val="Compact"/>
            </w:pPr>
            <w:r>
              <w:t xml:space="preserve">4.3</w:t>
            </w:r>
          </w:p>
        </w:tc>
        <w:tc>
          <w:tcPr/>
          <w:p>
            <w:pPr>
              <w:pStyle w:val="Compact"/>
            </w:pPr>
            <w:r>
              <w:t xml:space="preserve">2026-10-20</w:t>
            </w:r>
          </w:p>
        </w:tc>
        <w:tc>
          <w:tcPr/>
          <w:p>
            <w:pPr>
              <w:pStyle w:val="Compact"/>
            </w:pPr>
            <w:r>
              <w:t xml:space="preserve">Revisión contra el código del 20 de octubre de 2026: el catálogo</w:t>
            </w:r>
            <w:r>
              <w:t xml:space="preserve"> </w:t>
            </w:r>
            <w:r>
              <w:rPr>
                <w:i/>
                <w:iCs/>
              </w:rPr>
              <w:t xml:space="preserve">notification.notification_type</w:t>
            </w:r>
            <w:r>
              <w:t xml:space="preserve"> </w:t>
            </w:r>
            <w:r>
              <w:t xml:space="preserve">tiene 24 filas (las migraciones 031 y 038 agregaron la alerta de reserva sin operario y el aviso de versión nueva de la app).</w:t>
            </w:r>
          </w:p>
        </w:tc>
        <w:tc>
          <w:tcPr/>
          <w:p>
            <w:pPr>
              <w:pStyle w:val="Compact"/>
            </w:pPr>
            <w:r>
              <w:t xml:space="preserve">Equipo de desarrollo</w:t>
            </w:r>
          </w:p>
        </w:tc>
      </w:tr>
      <w:tr>
        <w:tc>
          <w:tcPr/>
          <w:p>
            <w:pPr>
              <w:pStyle w:val="Compact"/>
            </w:pPr>
            <w:r>
              <w:t xml:space="preserve">4.4</w:t>
            </w:r>
          </w:p>
        </w:tc>
        <w:tc>
          <w:tcPr/>
          <w:p>
            <w:pPr>
              <w:pStyle w:val="Compact"/>
            </w:pPr>
            <w:r>
              <w:t xml:space="preserve">2026-10-21</w:t>
            </w:r>
          </w:p>
        </w:tc>
        <w:tc>
          <w:tcPr/>
          <w:p>
            <w:pPr>
              <w:pStyle w:val="Compact"/>
            </w:pPr>
            <w:r>
              <w:t xml:space="preserve">Revisión contra el código del 21 de octubre de 2026: variables opcionales del chequeo de sesión del gateway y del cierre de reservas vencidas (sección 10.2), semillas 110 a 112 de booking-service (sección 11.2), motivos de cancelación (Tabla 9), respaldos automáticos del servidor público (sección 11.6), verificación del token de una sesión cerrada (secciones 16.3 y 16.4) y errores nuevos (Tabla 14).</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Cambio de la regla de las reservas que terminan sin cerrarse, revisada por el equipo la noche del 21 de octubre: booking-service solo cancela las programadas vencidas y operations-service revisa las confirmadas y las iniciadas. Se agregaron las variables</w:t>
            </w:r>
            <w:r>
              <w:t xml:space="preserve"> </w:t>
            </w:r>
            <w:r>
              <w:rPr>
                <w:i/>
                <w:iCs/>
              </w:rPr>
              <w:t xml:space="preserve">FOLLOW_UP_ENABLED</w:t>
            </w:r>
            <w:r>
              <w:t xml:space="preserve"> </w:t>
            </w:r>
            <w:r>
              <w:t xml:space="preserve">y</w:t>
            </w:r>
            <w:r>
              <w:t xml:space="preserve"> </w:t>
            </w:r>
            <w:r>
              <w:rPr>
                <w:i/>
                <w:iCs/>
              </w:rPr>
              <w:t xml:space="preserve">FOLLOW_UP_INTERVAL</w:t>
            </w:r>
            <w:r>
              <w:t xml:space="preserve">,</w:t>
            </w:r>
            <w:r>
              <w:t xml:space="preserve"> </w:t>
            </w:r>
            <w:r>
              <w:rPr>
                <w:i/>
                <w:iCs/>
              </w:rPr>
              <w:t xml:space="preserve">BOOKING_EXPIRY_GRACE_MINUTES</w:t>
            </w:r>
            <w:r>
              <w:t xml:space="preserve"> </w:t>
            </w:r>
            <w:r>
              <w:t xml:space="preserve">compartida por booking-service y operations-service, y los servicios que usan</w:t>
            </w:r>
            <w:r>
              <w:t xml:space="preserve"> </w:t>
            </w:r>
            <w:r>
              <w:rPr>
                <w:i/>
                <w:iCs/>
              </w:rPr>
              <w:t xml:space="preserve">INTERNAL_API_KEY</w:t>
            </w:r>
            <w:r>
              <w:t xml:space="preserve"> </w:t>
            </w:r>
            <w:r>
              <w:t xml:space="preserve">(sección 10.2); changelogs 040 de operations-service y 041 de notification-service (sección 11.2); 26 tipos de notificación (Tabla 9); verificación de la tarjeta "Por cerrar" (sección 16.4); un error nuevo (Tabla 14) y el Anexo B.</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22"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21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22"/>
    <w:bookmarkStart w:id="23"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integración continua (GitHub Actions; se describe en el Documento de Despliegue), la compilación y publicación del APK de la aplicación móvil (Documento de Despliegue) ni el uso funcional del sistema, que se explica en el Manual de Usuario y en el Manual de Administrador.</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25"/>
    <w:bookmarkStart w:id="26"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26"/>
    <w:bookmarkEnd w:id="27"/>
    <w:bookmarkStart w:id="30"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28"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28"/>
    <w:bookmarkStart w:id="29"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29"/>
    <w:bookmarkEnd w:id="30"/>
    <w:bookmarkStart w:id="35"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34"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32" name="Picture"/>
            <a:graphic>
              <a:graphicData uri="http://schemas.openxmlformats.org/drawingml/2006/picture">
                <pic:pic>
                  <pic:nvPicPr>
                    <pic:cNvPr descr="capturas/instalacion-01-verificacion-de-las-versiones-de-las-herramienta.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46">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47"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(las ramas</w:t>
      </w:r>
      <w:r>
        <w:t xml:space="preserve"> </w:t>
      </w:r>
      <w:r>
        <w:rPr>
          <w:i/>
          <w:iCs/>
        </w:rPr>
        <w:t xml:space="preserve">main</w:t>
      </w:r>
      <w:r>
        <w:t xml:space="preserve"> </w:t>
      </w:r>
      <w:r>
        <w:t xml:space="preserve">son más antiguas). Para una instalación de evaluación, usar</w:t>
      </w:r>
      <w:r>
        <w:t xml:space="preserve"> </w:t>
      </w:r>
      <w:r>
        <w:rPr>
          <w:i/>
          <w:iCs/>
        </w:rPr>
        <w:t xml:space="preserve">develop</w:t>
      </w:r>
      <w:r>
        <w:t xml:space="preserve"> </w:t>
      </w:r>
      <w:r>
        <w:t xml:space="preserve">o la etiqueta de la versión entregada.</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47"/>
    <w:bookmarkStart w:id="51"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49" name="Picture"/>
            <a:graphic>
              <a:graphicData uri="http://schemas.openxmlformats.org/drawingml/2006/picture">
                <pic:pic>
                  <pic:nvPicPr>
                    <pic:cNvPr descr="capturas/instalacion-02-repositorios-clonados-en-la-carpeta-de-trabajo.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8f359f1a50a35f75dce83f97b315373a40bed62"/>
    <w:p>
      <w:pPr>
        <w:pStyle w:val="Heading2"/>
      </w:pPr>
      <w:r>
        <w:t xml:space="preserve">9. Instalación de Dependencias</w:t>
      </w:r>
    </w:p>
    <w:bookmarkStart w:id="53"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53"/>
    <w:bookmarkStart w:id="54"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55"/>
    <w:bookmarkStart w:id="56"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56"/>
    <w:bookmarkStart w:id="60"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58" name="Picture"/>
            <a:graphic>
              <a:graphicData uri="http://schemas.openxmlformats.org/drawingml/2006/picture">
                <pic:pic>
                  <pic:nvPicPr>
                    <pic:cNvPr descr="capturas/instalacion-03-instalacion-exitosa-de-las-dependencia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62"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62"/>
    <w:bookmarkStart w:id="63"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(Swagger y cuentas de demostración); usar otro valor, como</w:t>
            </w:r>
            <w:r>
              <w:t xml:space="preserve"> </w:t>
            </w:r>
            <w:r>
              <w:rPr>
                <w:i/>
                <w:iCs/>
              </w:rPr>
              <w:t xml:space="preserve">prod</w:t>
            </w:r>
            <w:r>
              <w:t xml:space="preserve">, en cualquier entorno compartido.</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booking-service, operations-service y notification-service</w:t>
            </w:r>
          </w:p>
        </w:tc>
        <w:tc>
          <w:tcPr/>
          <w:p>
            <w:pPr>
              <w:pStyle w:val="Compact"/>
            </w:pPr>
            <w:r>
              <w:t xml:space="preserve">Llave de las rutas internas; sin ella no se envían por correo los avisos de reservas, pagos y cupones ni los recordatorios, no se pueden leer los interruptores de notificación de cada usuario y operations-service no puede cerrar como No asistió las reservas confirmadas que terminaron sin operario.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Chequeo de la sesión del token (desde el 21 de octubre de 2026):</w:t>
            </w:r>
            <w:r>
              <w:t xml:space="preserve"> </w:t>
            </w:r>
            <w:r>
              <w:rPr>
                <w:i/>
                <w:iCs/>
              </w:rPr>
              <w:t xml:space="preserve">true</w:t>
            </w:r>
            <w:r>
              <w:t xml:space="preserve">,</w:t>
            </w:r>
            <w:r>
              <w:t xml:space="preserve"> </w:t>
            </w:r>
            <w:r>
              <w:rPr>
                <w:i/>
                <w:iCs/>
              </w:rPr>
              <w:t xml:space="preserve">30s</w:t>
            </w:r>
            <w:r>
              <w:t xml:space="preserve"> </w:t>
            </w:r>
            <w:r>
              <w:t xml:space="preserve">y</w:t>
            </w:r>
            <w:r>
              <w:t xml:space="preserve"> </w:t>
            </w:r>
            <w:r>
              <w:rPr>
                <w:i/>
                <w:iCs/>
              </w:rPr>
              <w:t xml:space="preserve">3s</w:t>
            </w:r>
            <w:r>
              <w:t xml:space="preserve"> </w:t>
            </w:r>
            <w:r>
              <w:t xml:space="preserve">por defecto. No están en</w:t>
            </w:r>
            <w:r>
              <w:t xml:space="preserve"> </w:t>
            </w:r>
            <w:r>
              <w:rPr>
                <w:i/>
                <w:iCs/>
              </w:rPr>
              <w:t xml:space="preserve">.env.example</w:t>
            </w:r>
            <w:r>
              <w:t xml:space="preserve"> </w:t>
            </w:r>
            <w:r>
              <w:t xml:space="preserve">ni en el archivo de Compose: en Docker quedan con su valor por defecto y solo cambian si el gateway corre desde el IDE (acción ACO-14).</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t xml:space="preserve">Cancelación automática de las reservas programadas que nunca se confirmaron (motivo</w:t>
            </w:r>
            <w:r>
              <w:t xml:space="preserve"> </w:t>
            </w:r>
            <w:r>
              <w:rPr>
                <w:i/>
                <w:iCs/>
              </w:rPr>
              <w:t xml:space="preserve">EXPIRED</w:t>
            </w:r>
            <w:r>
              <w:t xml:space="preserve">):</w:t>
            </w:r>
            <w:r>
              <w:t xml:space="preserve"> </w:t>
            </w:r>
            <w:r>
              <w:rPr>
                <w:i/>
                <w:iCs/>
              </w:rPr>
              <w:t xml:space="preserve">true</w:t>
            </w:r>
            <w:r>
              <w:t xml:space="preserve"> </w:t>
            </w:r>
            <w:r>
              <w:t xml:space="preserve">y</w:t>
            </w:r>
            <w:r>
              <w:t xml:space="preserve"> </w:t>
            </w:r>
            <w:r>
              <w:rPr>
                <w:i/>
                <w:iCs/>
              </w:rPr>
              <w:t xml:space="preserve">PT5M</w:t>
            </w:r>
            <w:r>
              <w:t xml:space="preserve"> </w:t>
            </w:r>
            <w:r>
              <w:t xml:space="preserve">(cada 5 minutos) por defecto. Igual que las anteriores, no pasan por el archivo de Compose.</w:t>
            </w:r>
          </w:p>
        </w:tc>
      </w:tr>
      <w:tr>
        <w:tc>
          <w:tcPr/>
          <w:p>
            <w:pPr>
              <w:pStyle w:val="Compact"/>
            </w:pPr>
            <w:r>
              <w:t xml:space="preserve">BOOKING_EXPIRY_GRACE_MINUTES</w:t>
            </w:r>
          </w:p>
        </w:tc>
        <w:tc>
          <w:tcPr/>
          <w:p>
            <w:pPr>
              <w:pStyle w:val="Compact"/>
            </w:pPr>
            <w:r>
              <w:t xml:space="preserve">booking-service y operations-service</w:t>
            </w:r>
          </w:p>
        </w:tc>
        <w:tc>
          <w:tcPr/>
          <w:p>
            <w:pPr>
              <w:pStyle w:val="Compact"/>
            </w:pPr>
            <w:r>
              <w:t xml:space="preserve">Minutos después de la hora de fin antes de cerrar una reserva vencida;</w:t>
            </w:r>
            <w:r>
              <w:t xml:space="preserve"> </w:t>
            </w:r>
            <w:r>
              <w:rPr>
                <w:i/>
                <w:iCs/>
              </w:rPr>
              <w:t xml:space="preserve">60</w:t>
            </w:r>
            <w:r>
              <w:t xml:space="preserve"> </w:t>
            </w:r>
            <w:r>
              <w:t xml:space="preserve">por defecto. La usan los dos servicios, así que si se cambia debe tener el mismo valor en ambos. No pasa por el archivo de Compose.</w:t>
            </w:r>
          </w:p>
        </w:tc>
      </w:tr>
      <w:tr>
        <w:tc>
          <w:tcPr/>
          <w:p>
            <w:pPr>
              <w:pStyle w:val="Compact"/>
            </w:pPr>
            <w:r>
              <w:t xml:space="preserve">FOLLOW_UP_ENABLED, FOLLOW_UP_INTERVAL</w:t>
            </w:r>
          </w:p>
        </w:tc>
        <w:tc>
          <w:tcPr/>
          <w:p>
            <w:pPr>
              <w:pStyle w:val="Compact"/>
            </w:pPr>
            <w:r>
              <w:t xml:space="preserve">operations-service</w:t>
            </w:r>
          </w:p>
        </w:tc>
        <w:tc>
          <w:tcPr/>
          <w:p>
            <w:pPr>
              <w:pStyle w:val="Compact"/>
            </w:pPr>
            <w:r>
              <w:t xml:space="preserve">Revisión de las reservas que terminaron sin cerrarse (desde la noche del 21 de octubre de 2026): pasa a No asistió la confirmada que nunca tuvo operario y deja en "Por cerrar" la que tenía operario y nadie registró.</w:t>
            </w:r>
            <w:r>
              <w:t xml:space="preserve"> </w:t>
            </w:r>
            <w:r>
              <w:rPr>
                <w:i/>
                <w:iCs/>
              </w:rPr>
              <w:t xml:space="preserve">true</w:t>
            </w:r>
            <w:r>
              <w:t xml:space="preserve"> </w:t>
            </w:r>
            <w:r>
              <w:t xml:space="preserve">y</w:t>
            </w:r>
            <w:r>
              <w:t xml:space="preserve"> </w:t>
            </w:r>
            <w:r>
              <w:rPr>
                <w:i/>
                <w:iCs/>
              </w:rPr>
              <w:t xml:space="preserve">PT5M</w:t>
            </w:r>
            <w:r>
              <w:t xml:space="preserve"> </w:t>
            </w:r>
            <w:r>
              <w:t xml:space="preserve">por defecto; necesita</w:t>
            </w:r>
            <w:r>
              <w:t xml:space="preserve"> </w:t>
            </w:r>
            <w:r>
              <w:rPr>
                <w:i/>
                <w:iCs/>
              </w:rPr>
              <w:t xml:space="preserve">INTERNAL_API_KEY</w:t>
            </w:r>
            <w:r>
              <w:t xml:space="preserve">. No pasan por el archivo de Compose.</w:t>
            </w:r>
          </w:p>
        </w:tc>
      </w:tr>
      <w:tr>
        <w:tc>
          <w:tcPr/>
          <w:p>
            <w:pPr>
              <w:pStyle w:val="Compact"/>
            </w:pPr>
            <w:r>
              <w:t xml:space="preserve">SECURITY_SERVICE_URL, CUSTOMER_SERVICE_URL, BOOKING_SERVICE_URL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63"/>
    <w:bookmarkStart w:id="64"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64"/>
    <w:bookmarkStart w:id="65"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66">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67">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9" name="Picture"/>
            <a:graphic>
              <a:graphicData uri="http://schemas.openxmlformats.org/drawingml/2006/picture">
                <pic:pic>
                  <pic:nvPicPr>
                    <pic:cNvPr descr="capturas/instalacion-04-archivo-env-configurado-con-los-secretos-oculto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71"/>
    <w:bookmarkEnd w:id="72"/>
    <w:bookmarkStart w:id="82"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76"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74" name="Picture"/>
            <a:graphic>
              <a:graphicData uri="http://schemas.openxmlformats.org/drawingml/2006/picture">
                <pic:pic>
                  <pic:nvPicPr>
                    <pic:cNvPr descr="capturas/instalacion-05-contenedores-de-infraestructura-en-ejecucion.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21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 110 datos del negocio, 111 borrado de los datos de ejemplo del negocio para que el negocio real los complete y 112 motivo</w:t>
            </w:r>
            <w:r>
              <w:t xml:space="preserve"> </w:t>
            </w:r>
            <w:r>
              <w:rPr>
                <w:i/>
                <w:iCs/>
              </w:rPr>
              <w:t xml:space="preserve">EXPIRED</w:t>
            </w:r>
            <w:r>
              <w:t xml:space="preserve"> </w:t>
            </w:r>
            <w:r>
              <w:t xml:space="preserve">del cierre automático de reservas vencidas.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040 hora del aviso de servicio sin registrar (</w:t>
            </w:r>
            <w:r>
              <w:rPr>
                <w:i/>
                <w:iCs/>
              </w:rPr>
              <w:t xml:space="preserve">follow_up_notice_at</w:t>
            </w:r>
            <w:r>
              <w:t xml:space="preserve">);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041 tipos de aviso de servicio sin registrar para el operario y el administrador;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77"/>
    <w:bookmarkStart w:id="78" w:name="X0af8ea82deac627fbfcc5856c9e5782b8d73cbd"/>
    <w:p>
      <w:pPr>
        <w:pStyle w:val="Heading3"/>
      </w:pPr>
      <w:r>
        <w:t xml:space="preserve">11.3 Método Alternativo: Script Global</w:t>
      </w:r>
    </w:p>
    <w:p>
      <w:pPr>
        <w:pStyle w:val="FirstParagraph"/>
      </w:pPr>
      <w:r>
        <w:t xml:space="preserve">El repositorio de documentación conserva el script</w:t>
      </w:r>
      <w:r>
        <w:t xml:space="preserve"> </w:t>
      </w:r>
      <w:r>
        <w:rPr>
          <w:i/>
          <w:iCs/>
        </w:rPr>
        <w:t xml:space="preserve">lavarapido-6-services-sqlserver.sql</w:t>
      </w:r>
      <w:r>
        <w:t xml:space="preserve">, con el modelo completo, para quienes crean la base de datos a mano. Como cada changeset tiene una precondición, los servicios pueden arrancar después sobre una base creada con ese script: Liquibase marca como ejecutados los objetos que ya existen. El script se ejecuta sobre la base de datos vacía:</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8"/>
    <w:bookmarkStart w:id="79"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9"/>
    <w:bookmarkStart w:id="80"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booking.cancellation_reason</w:t>
            </w:r>
          </w:p>
        </w:tc>
        <w:tc>
          <w:tcPr/>
          <w:p>
            <w:pPr>
              <w:pStyle w:val="Compact"/>
            </w:pPr>
            <w:r>
              <w:t xml:space="preserve">7 filas;</w:t>
            </w:r>
            <w:r>
              <w:t xml:space="preserve"> </w:t>
            </w:r>
            <w:r>
              <w:rPr>
                <w:i/>
                <w:iCs/>
              </w:rPr>
              <w:t xml:space="preserve">EXPIRED</w:t>
            </w:r>
            <w:r>
              <w:t xml:space="preserve"> </w:t>
            </w:r>
            <w:r>
              <w:t xml:space="preserve">(semilla 112) solo lo usa el sistema y no aparece en la lista de motivos.</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26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80"/>
    <w:bookmarkStart w:id="81"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En el servidor público los respaldos son automáticos:</w:t>
      </w:r>
      <w:r>
        <w:t xml:space="preserve"> </w:t>
      </w:r>
      <w:r>
        <w:rPr>
          <w:i/>
          <w:iCs/>
        </w:rPr>
        <w:t xml:space="preserve">deploy/backup-db.sh</w:t>
      </w:r>
      <w:r>
        <w:t xml:space="preserve"> </w:t>
      </w:r>
      <w:r>
        <w:t xml:space="preserve">respalda la base todos los días y antes de cada actualización,</w:t>
      </w:r>
      <w:r>
        <w:t xml:space="preserve"> </w:t>
      </w:r>
      <w:r>
        <w:rPr>
          <w:i/>
          <w:iCs/>
        </w:rPr>
        <w:t xml:space="preserve">deploy/verify-backup.sh</w:t>
      </w:r>
      <w:r>
        <w:t xml:space="preserve"> </w:t>
      </w:r>
      <w:r>
        <w:t xml:space="preserve">comprueba cada respaldo restaurándolo con otro nombre y</w:t>
      </w:r>
      <w:r>
        <w:t xml:space="preserve"> </w:t>
      </w:r>
      <w:r>
        <w:rPr>
          <w:i/>
          <w:iCs/>
        </w:rPr>
        <w:t xml:space="preserve">deploy/restore-db.sh</w:t>
      </w:r>
      <w:r>
        <w:t xml:space="preserve"> </w:t>
      </w:r>
      <w:r>
        <w:t xml:space="preserve">restaura uno (Documento de Despliegue, sección 3.2).</w:t>
      </w:r>
    </w:p>
    <w:p>
      <w:pPr>
        <w:pStyle w:val="BodyText"/>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cad650cb84f4554d53d010cfc1a4ae30668a351"/>
    <w:p>
      <w:pPr>
        <w:pStyle w:val="Heading2"/>
      </w:pPr>
      <w:r>
        <w:t xml:space="preserve">12. Ejecución del Backend</w:t>
      </w:r>
    </w:p>
    <w:bookmarkStart w:id="83"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83"/>
    <w:bookmarkStart w:id="87"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85" name="Picture"/>
            <a:graphic>
              <a:graphicData uri="http://schemas.openxmlformats.org/drawingml/2006/picture">
                <pic:pic>
                  <pic:nvPicPr>
                    <pic:cNvPr descr="capturas/instalacion-06-contenedores-del-entorno-en-ejecucion.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8"/>
    <w:bookmarkStart w:id="89"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9"/>
    <w:bookmarkStart w:id="90"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90"/>
    <w:bookmarkStart w:id="91"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91"/>
    <w:bookmarkEnd w:id="92"/>
    <w:bookmarkStart w:id="102" w:name="X38c62433184dc43abd13252d73c258d80661893"/>
    <w:p>
      <w:pPr>
        <w:pStyle w:val="Heading2"/>
      </w:pPr>
      <w:r>
        <w:t xml:space="preserve">13. Ejecución del Frontend</w:t>
      </w:r>
    </w:p>
    <w:bookmarkStart w:id="96"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94" name="Picture"/>
            <a:graphic>
              <a:graphicData uri="http://schemas.openxmlformats.org/drawingml/2006/picture">
                <pic:pic>
                  <pic:nvPicPr>
                    <pic:cNvPr descr="capturas/instalacion-07-aplicacion-web-en-ejecucion.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 Los cambios del 21 de octubre de 2026 (comprobante comprimido, lupa del QR y pantalla de actualización obligatoria del APK) no agregan dependencias nativas.</w:t>
      </w:r>
    </w:p>
    <w:p>
      <w:pPr>
        <w:pStyle w:val="BodyText"/>
      </w:pPr>
      <w:r>
        <w:rPr>
          <w:b/>
          <w:bCs/>
        </w:rPr>
        <w:t xml:space="preserve">Notificaciones push.</w:t>
      </w:r>
      <w:r>
        <w:t xml:space="preserve"> </w:t>
      </w:r>
      <w:r>
        <w:t xml:space="preserve">Expo Go no recibe notificaciones push remotas. Para probarlas, construir una versión de desarrollo con EAS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8" name="Picture"/>
            <a:graphic>
              <a:graphicData uri="http://schemas.openxmlformats.org/drawingml/2006/picture">
                <pic:pic>
                  <pic:nvPicPr>
                    <pic:cNvPr descr="capturas/instalacion-08-servidor-de-desarrollo-de-expo.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101"/>
    <w:bookmarkEnd w:id="102"/>
    <w:bookmarkStart w:id="104"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103"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103"/>
    <w:bookmarkEnd w:id="104"/>
    <w:bookmarkStart w:id="109" w:name="X7c65474995989ca6642e6876cc6fe398b0b4611"/>
    <w:p>
      <w:pPr>
        <w:pStyle w:val="Heading2"/>
      </w:pPr>
      <w:r>
        <w:t xml:space="preserve">15. Usuarios de Prueba</w:t>
      </w:r>
    </w:p>
    <w:bookmarkStart w:id="105"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 operario y cliente) si no existen. Sus correos y contraseñas están documentados en la sección 5 de la guía del equipo (</w:t>
      </w:r>
      <w:r>
        <w:rPr>
          <w:i/>
          <w:iCs/>
        </w:rPr>
        <w:t xml:space="preserve">lavarapido-infra/GUIA-EQUIPO.md</w:t>
      </w:r>
      <w:r>
        <w:t xml:space="preserve">). Este manual no los reproduce, porque la política de seguridad prohíbe publicar credenciales; esas cuentas nunca deben existir en un entorno compartido.</w:t>
      </w:r>
    </w:p>
    <w:bookmarkEnd w:id="105"/>
    <w:bookmarkStart w:id="106"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106"/>
    <w:bookmarkStart w:id="107"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107"/>
    <w:bookmarkStart w:id="108"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8"/>
    <w:bookmarkEnd w:id="109"/>
    <w:bookmarkStart w:id="121"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10"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10"/>
    <w:bookmarkStart w:id="111"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11"/>
    <w:bookmarkStart w:id="115"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verifica la firma de los tokens (ADR-006): una solicitud sin token pasa directo y la rechaza booking-service. Desde el 21 de octubre de 2026 el gateway sí corta el token de una sesión cerrada: después de cerrar sesión, repetir la llamada con el mismo token (</w:t>
      </w:r>
      <w:r>
        <w:rPr>
          <w:i/>
          <w:iCs/>
        </w:rPr>
        <w:t xml:space="preserve">-H "Authorization: Bearer</w:t>
      </w:r>
      <w:r>
        <w:rPr>
          <w:i/>
          <w:iCs/>
        </w:rPr>
        <w:t xml:space="preserve"> </w:t>
      </w:r>
      <w:r>
        <w:rPr>
          <w:rStyle w:val="VerbatimChar"/>
          <w:i/>
          <w:iCs/>
        </w:rPr>
        <w:t xml:space="preserve">&lt;TOKEN&gt;</w:t>
      </w:r>
      <w:r>
        <w:rPr>
          <w:i/>
          <w:iCs/>
        </w:rPr>
        <w:t xml:space="preserve">"</w:t>
      </w:r>
      <w:r>
        <w:t xml:space="preserve">) devuelve 401 desde el gateway, sin llegar al servicio.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13" name="Picture"/>
            <a:graphic>
              <a:graphicData uri="http://schemas.openxmlformats.org/drawingml/2006/picture">
                <pic:pic>
                  <pic:nvPicPr>
                    <pic:cNvPr descr="capturas/instalacion-09-respuesta-de-los-endpoints-de-salud.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Cerrar sesión y repetir una llamada con el mismo token: el gateway responde 401.</w:t>
      </w:r>
    </w:p>
    <w:p>
      <w:pPr>
        <w:pStyle w:val="Compact"/>
        <w:numPr>
          <w:ilvl w:val="0"/>
          <w:numId w:val="1021"/>
        </w:numPr>
      </w:pPr>
      <w:r>
        <w:t xml:space="preserve">Opcional: crear como administrador una reserva de prueba para una hora que termine pronto, con operario, y no iniciarla. Unos minutos después de su hora de fin debe aparecer en la tarjeta</w:t>
      </w:r>
      <w:r>
        <w:t xml:space="preserve"> </w:t>
      </w:r>
      <w:r>
        <w:rPr>
          <w:b/>
          <w:bCs/>
        </w:rPr>
        <w:t xml:space="preserve">Por cerrar</w:t>
      </w:r>
      <w:r>
        <w:t xml:space="preserve"> </w:t>
      </w:r>
      <w:r>
        <w:t xml:space="preserve">del inicio del administrador, con el aviso "Servicio sin registrar"; al hacer clic en</w:t>
      </w:r>
      <w:r>
        <w:t xml:space="preserve"> </w:t>
      </w:r>
      <w:r>
        <w:rPr>
          <w:b/>
          <w:bCs/>
        </w:rPr>
        <w:t xml:space="preserve">Se atendió</w:t>
      </w:r>
      <w:r>
        <w:t xml:space="preserve"> </w:t>
      </w:r>
      <w:r>
        <w:t xml:space="preserve">queda Completada.</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16"/>
    <w:bookmarkStart w:id="120"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8" name="Picture"/>
            <a:graphic>
              <a:graphicData uri="http://schemas.openxmlformats.org/drawingml/2006/picture">
                <pic:pic>
                  <pic:nvPicPr>
                    <pic:cNvPr descr="capturas/instalacion-10-registros-de-sesion.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401 justo después de cerrar sesión en otra pestaña o dispositivo</w:t>
            </w:r>
          </w:p>
        </w:tc>
        <w:tc>
          <w:tcPr/>
          <w:p>
            <w:pPr>
              <w:pStyle w:val="Compact"/>
            </w:pPr>
            <w:r>
              <w:t xml:space="preserve">La sesión se cerró y el gateway corta su token.</w:t>
            </w:r>
          </w:p>
        </w:tc>
        <w:tc>
          <w:tcPr/>
          <w:p>
            <w:pPr>
              <w:pStyle w:val="Compact"/>
            </w:pPr>
            <w:r>
              <w:t xml:space="preserve">Ingresar de nuevo.</w:t>
            </w:r>
          </w:p>
        </w:tc>
      </w:tr>
      <w:tr>
        <w:tc>
          <w:tcPr/>
          <w:p>
            <w:pPr>
              <w:pStyle w:val="Compact"/>
            </w:pPr>
            <w:r>
              <w:t xml:space="preserve">Las solicitudes tardan unos 3 segundos más y el registro del gateway dice</w:t>
            </w:r>
            <w:r>
              <w:t xml:space="preserve"> </w:t>
            </w:r>
            <w:r>
              <w:rPr>
                <w:i/>
                <w:iCs/>
              </w:rPr>
              <w:t xml:space="preserve">No se pudo confirmar la sesión</w:t>
            </w:r>
          </w:p>
        </w:tc>
        <w:tc>
          <w:tcPr/>
          <w:p>
            <w:pPr>
              <w:pStyle w:val="Compact"/>
            </w:pPr>
            <w:r>
              <w:t xml:space="preserve">security-service no responde; el gateway deja pasar la solicitud después de esperarlo.</w:t>
            </w:r>
          </w:p>
        </w:tc>
        <w:tc>
          <w:tcPr/>
          <w:p>
            <w:pPr>
              <w:pStyle w:val="Compact"/>
            </w:pPr>
            <w:r>
              <w:t xml:space="preserve">Iniciar security-service y revisar su salud.</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reservas que terminaron no aparecen en "Por cerrar" o las que no tenían operario no pasan a No asistió</w:t>
            </w:r>
          </w:p>
        </w:tc>
        <w:tc>
          <w:tcPr/>
          <w:p>
            <w:pPr>
              <w:pStyle w:val="Compact"/>
            </w:pPr>
            <w:r>
              <w:t xml:space="preserve">FOLLOW_UP_ENABLED=false, INTERNAL_API_KEY vacía o booking-service caído.</w:t>
            </w:r>
          </w:p>
        </w:tc>
        <w:tc>
          <w:tcPr/>
          <w:p>
            <w:pPr>
              <w:pStyle w:val="Compact"/>
            </w:pPr>
            <w:r>
              <w:t xml:space="preserve">Revisar el registro de operations-service (</w:t>
            </w:r>
            <w:r>
              <w:rPr>
                <w:i/>
                <w:iCs/>
              </w:rPr>
              <w:t xml:space="preserve">Could not follow up finished bookings</w:t>
            </w:r>
            <w:r>
              <w:t xml:space="preserve"> </w:t>
            </w:r>
            <w:r>
              <w:t xml:space="preserve">o</w:t>
            </w:r>
            <w:r>
              <w:t xml:space="preserve"> </w:t>
            </w:r>
            <w:r>
              <w:rPr>
                <w:i/>
                <w:iCs/>
              </w:rPr>
              <w:t xml:space="preserve">was not closed as not attended</w:t>
            </w:r>
            <w:r>
              <w:t xml:space="preserve">) y la llave interna.</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22"/>
    <w:bookmarkStart w:id="123"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verifica la firma de los tokens, pero desde el 21 de octubre de 2026 corta los de sesiones cerradas.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23"/>
    <w:bookmarkStart w:id="126"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36">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80b0218b51872906238fd110cf3fb8467fb66bf"/>
    <w:p>
      <w:pPr>
        <w:pStyle w:val="Heading2"/>
      </w:pPr>
      <w:r>
        <w:t xml:space="preserve">19. Anexos</w:t>
      </w:r>
    </w:p>
    <w:bookmarkStart w:id="127"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27"/>
    <w:bookmarkStart w:id="128"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r>
        <w:tc>
          <w:tcPr/>
          <w:p>
            <w:pPr>
              <w:pStyle w:val="Compact"/>
            </w:pPr>
            <w:r>
              <w:t xml:space="preserve">Variables del 21 de octubre de 2026</w:t>
            </w:r>
          </w:p>
        </w:tc>
        <w:tc>
          <w:tcPr/>
          <w:p>
            <w:pPr>
              <w:pStyle w:val="Compact"/>
            </w:pP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w:t>
            </w:r>
            <w:r>
              <w:t xml:space="preserve">no están en</w:t>
            </w:r>
            <w:r>
              <w:t xml:space="preserve"> </w:t>
            </w:r>
            <w:r>
              <w:rPr>
                <w:i/>
                <w:iCs/>
              </w:rPr>
              <w:t xml:space="preserve">.env.example</w:t>
            </w:r>
            <w:r>
              <w:t xml:space="preserve"> </w:t>
            </w:r>
            <w:r>
              <w:t xml:space="preserve">ni en</w:t>
            </w:r>
            <w:r>
              <w:t xml:space="preserve"> </w:t>
            </w:r>
            <w:r>
              <w:rPr>
                <w:i/>
                <w:iCs/>
              </w:rPr>
              <w:t xml:space="preserve">docker-compose.yml</w:t>
            </w:r>
            <w:r>
              <w:t xml:space="preserve"> </w:t>
            </w:r>
            <w:r>
              <w:t xml:space="preserve">(acción ACO-14).</w:t>
            </w:r>
          </w:p>
        </w:tc>
        <w:tc>
          <w:tcPr/>
          <w:p>
            <w:pPr>
              <w:pStyle w:val="Compact"/>
            </w:pPr>
            <w:r>
              <w:t xml:space="preserve">10.2</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8"/>
    <w:bookmarkStart w:id="129"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30"/>
    <w:bookmarkStart w:id="131"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2026-10-21T20:39:05Z</dcterms:created>
  <dcterms:modified xsi:type="dcterms:W3CDTF">2026-10-21T20:39:05Z</dcterms:modified>
</cp:coreProperties>
</file>

<file path=docProps/custom.xml><?xml version="1.0" encoding="utf-8"?>
<Properties xmlns="http://schemas.openxmlformats.org/officeDocument/2006/custom-properties" xmlns:vt="http://schemas.openxmlformats.org/officeDocument/2006/docPropsVTypes"/>
</file>