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6.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técnico (desarrolladores y arquitectos de software)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de los once repositorios con el sistema corriendo. Se actualizaron: 57 tablas con el diagrama entidad-relación generado desde la base de datos, diccionario de las tablas nuevas (bloqueo de cuenta, dirección, consentimiento, perfil del operario e inspección), asignación automática y elección del operario, bloqueo por intentos fallidos, informes de inspección en el servidor, datos del negocio, salud y correlación de payment-service, nuevos endpoints y eventos, resultados reales de las pruebas (639 unitarias y 19 de punta a punta), deuda técnica y discrepancias resueltas.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documentó el informe de inspección de la aplicación móvil (sección 10.5), el cliente HTTP móvil con formularios multipart y la variable</w:t>
            </w:r>
            <w:r>
              <w:t xml:space="preserve"> </w:t>
            </w:r>
            <w:r>
              <w:rPr>
                <w:i/>
                <w:iCs/>
              </w:rPr>
              <w:t xml:space="preserve">EXPO_PUBLIC_WEB_URL</w:t>
            </w:r>
            <w:r>
              <w:t xml:space="preserve"> </w:t>
            </w:r>
            <w:r>
              <w:t xml:space="preserve">(sección 12.7), las dependencias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(Tabla 3) y la regla que ignora un 401 tardío después de cerrar sesión.</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anexo-a-origen-de-las-figuras">
        <w:r>
          <w:rPr>
            <w:rStyle w:val="Hyperlink"/>
          </w:rPr>
          <w:t xml:space="preserve">Anexo A. Origen de las Figuras</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22"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(rama</w:t>
      </w:r>
      <w:r>
        <w:t xml:space="preserve"> </w:t>
      </w:r>
      <w:r>
        <w:rPr>
          <w:i/>
          <w:iCs/>
        </w:rPr>
        <w:t xml:space="preserve">develop</w:t>
      </w:r>
      <w:r>
        <w:t xml:space="preserve">, 9 de octubre de 2026). La versión 4.0 volvió a revisar los once repositorios con el sistema completo corriendo en Docker (rama</w:t>
      </w:r>
      <w:r>
        <w:t xml:space="preserve"> </w:t>
      </w:r>
      <w:r>
        <w:rPr>
          <w:i/>
          <w:iCs/>
        </w:rPr>
        <w:t xml:space="preserve">develop</w:t>
      </w:r>
      <w:r>
        <w:t xml:space="preserve">, 16 de octubre de 2026): las cifras de tablas, changelogs y pruebas salen de consultas a la base de datos y de la ejecución de las pruebas, no de documentos anteriores.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24"/>
    <w:bookmarkStart w:id="25"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25"/>
    <w:bookmarkEnd w:id="26"/>
    <w:bookmarkStart w:id="29" w:name="X3b064709b715aa72af87e979a6f3d82392ca678"/>
    <w:p>
      <w:pPr>
        <w:pStyle w:val="Heading2"/>
      </w:pPr>
      <w:r>
        <w:t xml:space="preserve">6. Alcance Técnico</w:t>
      </w:r>
    </w:p>
    <w:bookmarkStart w:id="27"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27"/>
    <w:bookmarkStart w:id="28"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28"/>
    <w:bookmarkEnd w:id="29"/>
    <w:bookmarkStart w:id="36" w:name="X95d8c97275c8f81a939e1c762cd97d9839d709e"/>
    <w:p>
      <w:pPr>
        <w:pStyle w:val="Heading2"/>
      </w:pPr>
      <w:r>
        <w:t xml:space="preserve">7. Descripción General del Sistema</w:t>
      </w:r>
    </w:p>
    <w:bookmarkStart w:id="30"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30"/>
    <w:bookmarkStart w:id="34"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3350418"/>
            <wp:effectExtent b="0" l="0" r="0" t="0"/>
            <wp:docPr descr="Diagrama de contenedores del sistema Vehicle Washing" title="" id="32" name="Picture"/>
            <a:graphic>
              <a:graphicData uri="http://schemas.openxmlformats.org/drawingml/2006/picture">
                <pic:pic>
                  <pic:nvPicPr>
                    <pic:cNvPr descr="09_Manual_Tecnico_diagramas/architecture.png" id="33" name="Picture"/>
                    <pic:cNvPicPr>
                      <a:picLocks noChangeArrowheads="1" noChangeAspect="1"/>
                    </pic:cNvPicPr>
                  </pic:nvPicPr>
                  <pic:blipFill>
                    <a:blip r:embed="rId31"/>
                    <a:stretch>
                      <a:fillRect/>
                    </a:stretch>
                  </pic:blipFill>
                  <pic:spPr bwMode="auto">
                    <a:xfrm>
                      <a:off x="0" y="0"/>
                      <a:ext cx="5334000" cy="3350418"/>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y aviso de versión nueva (APK compilado con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57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34"/>
    <w:bookmarkStart w:id="35"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35"/>
    <w:bookmarkEnd w:id="36"/>
    <w:bookmarkStart w:id="37"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21.2.25, 21.2.14, 17, 4.5, 4.2, 0.20, 7.8; TypeScript 5.9</w:t>
            </w:r>
          </w:p>
        </w:tc>
      </w:tr>
      <w:tr>
        <w:tc>
          <w:tcPr/>
          <w:p>
            <w:pPr>
              <w:pStyle w:val="Compact"/>
            </w:pPr>
            <w:r>
              <w:t xml:space="preserve">Frontend móvil</w:t>
            </w:r>
          </w:p>
        </w:tc>
        <w:tc>
          <w:tcPr/>
          <w:p>
            <w:pPr>
              <w:pStyle w:val="Compact"/>
            </w:pPr>
            <w:r>
              <w:t xml:space="preserve">React Native, Expo, React, React Navigation, i18next; expo-image-picker y expo-image-manipulator (fotos de la inspección)</w:t>
            </w:r>
          </w:p>
        </w:tc>
        <w:tc>
          <w:tcPr/>
          <w:p>
            <w:pPr>
              <w:pStyle w:val="Compact"/>
            </w:pPr>
            <w:r>
              <w:t xml:space="preserve">0.86.3, SDK 57, 19.2, 7, 26; 57.0;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w:t>
            </w:r>
          </w:p>
        </w:tc>
        <w:tc>
          <w:tcPr/>
          <w:p>
            <w:pPr>
              <w:pStyle w:val="Compact"/>
            </w:pPr>
            <w:r>
              <w:t xml:space="preserve">Mediante el Maven Wrapper,</w:t>
            </w:r>
            <w:r>
              <w:t xml:space="preserve"> </w:t>
            </w:r>
            <w:r>
              <w:rPr>
                <w:i/>
                <w:iCs/>
              </w:rPr>
              <w:t xml:space="preserve">dotnet test</w:t>
            </w:r>
            <w:r>
              <w:t xml:space="preserve"> </w:t>
            </w:r>
            <w:r>
              <w:t xml:space="preserve">y</w:t>
            </w:r>
            <w:r>
              <w:t xml:space="preserve"> </w:t>
            </w:r>
            <w:r>
              <w:rPr>
                <w:i/>
                <w:iCs/>
              </w:rPr>
              <w:t xml:space="preserve">ng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w:t>
            </w:r>
            <w:r>
              <w:t xml:space="preserve"> </w:t>
            </w:r>
            <w:r>
              <w:rPr>
                <w:i/>
                <w:iCs/>
              </w:rPr>
              <w:t xml:space="preserve">develop</w:t>
            </w:r>
            <w:r>
              <w:t xml:space="preserve"> </w:t>
            </w:r>
            <w:r>
              <w:t xml:space="preserve">y</w:t>
            </w:r>
            <w:r>
              <w:t xml:space="preserve"> </w:t>
            </w:r>
            <w:r>
              <w:rPr>
                <w:i/>
                <w:iCs/>
              </w:rPr>
              <w:t xml:space="preserve">feature/*</w:t>
            </w:r>
          </w:p>
        </w:tc>
      </w:tr>
      <w:tr>
        <w:tc>
          <w:tcPr/>
          <w:p>
            <w:pPr>
              <w:pStyle w:val="Compact"/>
            </w:pPr>
            <w:r>
              <w:t xml:space="preserve">Integración continua</w:t>
            </w:r>
          </w:p>
        </w:tc>
        <w:tc>
          <w:tcPr/>
          <w:p>
            <w:pPr>
              <w:pStyle w:val="Compact"/>
            </w:pPr>
            <w:r>
              <w:t xml:space="preserve">Jenkins</w:t>
            </w:r>
          </w:p>
        </w:tc>
        <w:tc>
          <w:tcPr/>
          <w:p>
            <w:pPr>
              <w:pStyle w:val="Compact"/>
            </w:pPr>
            <w:r>
              <w:t xml:space="preserve">Planeada, no configurada (TD-006)</w:t>
            </w:r>
          </w:p>
        </w:tc>
      </w:tr>
      <w:tr>
        <w:tc>
          <w:tcPr/>
          <w:p>
            <w:pPr>
              <w:pStyle w:val="Compact"/>
            </w:pPr>
            <w:r>
              <w:t xml:space="preserve">Diagramas y contratos</w:t>
            </w:r>
          </w:p>
        </w:tc>
        <w:tc>
          <w:tcPr/>
          <w:p>
            <w:pPr>
              <w:pStyle w:val="Compact"/>
            </w:pPr>
            <w:r>
              <w:t xml:space="preserve">Mermaid (C4 y diagramas UML),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37"/>
    <w:bookmarkStart w:id="50" w:name="Xcade969bd530bb91cbb218181cc2a6239e914ce"/>
    <w:p>
      <w:pPr>
        <w:pStyle w:val="Heading2"/>
      </w:pPr>
      <w:r>
        <w:t xml:space="preserve">9. Arquitectura del Sistema</w:t>
      </w:r>
    </w:p>
    <w:bookmarkStart w:id="38"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Media: autenticación, bloqueo por intentos fallidos, roles, permisos, reglas de contraseña, preferencias y consentimiento.</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Alta: turnos, ausencias, asignación manual y automática, ejecución, calificación, perfil del operario e informes de inspección.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Media: bandeja, consumo idempotente, push, correo, recordatorios y seguimiento de reservas para los avisos al personal.</w:t>
            </w:r>
          </w:p>
        </w:tc>
      </w:tr>
    </w:tbl>
    <w:p>
      <w:pPr>
        <w:pStyle w:val="BodyText"/>
      </w:pPr>
      <w:r>
        <w:rPr>
          <w:i/>
          <w:iCs/>
        </w:rPr>
        <w:t xml:space="preserve">Nota.</w:t>
      </w:r>
      <w:r>
        <w:t xml:space="preserve"> </w:t>
      </w:r>
      <w:r>
        <w:t xml:space="preserve">Total: 57 tablas, comprobado con una consulta a</w:t>
      </w:r>
      <w:r>
        <w:t xml:space="preserve"> </w:t>
      </w:r>
      <w:r>
        <w:rPr>
          <w:i/>
          <w:iCs/>
        </w:rPr>
        <w:t xml:space="preserve">sys.tables</w:t>
      </w:r>
      <w:r>
        <w:t xml:space="preserve"> </w:t>
      </w:r>
      <w:r>
        <w:t xml:space="preserve">el 16 de octubre de 2026. Fuente: changelogs de cada servicio.</w:t>
      </w:r>
    </w:p>
    <w:bookmarkEnd w:id="38"/>
    <w:bookmarkStart w:id="39"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valida tokens</w:t>
      </w:r>
      <w:r>
        <w:t xml:space="preserve">: cada servicio verifica el JWT por sí mismo (ADR-006). No tiene base de datos, caché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39"/>
    <w:bookmarkStart w:id="40"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40"/>
    <w:bookmarkStart w:id="43" w:name="Xa83801a3bf1c8870797ef0f75b1b528e24f16ef"/>
    <w:p>
      <w:pPr>
        <w:pStyle w:val="Heading3"/>
      </w:pPr>
      <w:r>
        <w:t xml:space="preserve">9.4 Comunicación entre Componentes</w:t>
      </w:r>
    </w:p>
    <w:bookmarkStart w:id="41"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y /internal/v1/bookings/{id} (llave interna)</w:t>
            </w:r>
          </w:p>
        </w:tc>
        <w:tc>
          <w:tcPr/>
          <w:p>
            <w:pPr>
              <w:pStyle w:val="Compact"/>
            </w:pPr>
            <w:r>
              <w:t xml:space="preserve">Reservas por asignar, con su bahía; pasarlas a IN_PROGRESS o COMPLETED; validar la reserva que se califica; leer la reserva cuando llega BookingConfirmed para la asignación automática, sin token de usuario (ADR-014).</w:t>
            </w:r>
          </w:p>
        </w:tc>
      </w:tr>
      <w:tr>
        <w:tc>
          <w:tcPr/>
          <w:p>
            <w:pPr>
              <w:pStyle w:val="Compact"/>
            </w:pPr>
            <w:r>
              <w:t xml:space="preserve">operations-service</w:t>
            </w:r>
          </w:p>
        </w:tc>
        <w:tc>
          <w:tcPr/>
          <w:p>
            <w:pPr>
              <w:pStyle w:val="Compact"/>
            </w:pPr>
            <w:r>
              <w:t xml:space="preserve">security-service GET /admin/users?role=OPERATOR; GET /internal/v1/users/{id}/contact (llave interna)</w:t>
            </w:r>
          </w:p>
        </w:tc>
        <w:tc>
          <w:tcPr/>
          <w:p>
            <w:pPr>
              <w:pStyle w:val="Compact"/>
            </w:pPr>
            <w:r>
              <w:t xml:space="preserve">Cuentas y nombres de los operarios; nombre del cliente de cada servicio y estado de la cuenta (una cuenta que no existe responde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41"/>
    <w:bookmarkStart w:id="42"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42"/>
    <w:bookmarkEnd w:id="43"/>
    <w:bookmarkStart w:id="49" w:name="X8ff6d818c42242ca0f555ab92df763b046e1d2b"/>
    <w:p>
      <w:pPr>
        <w:pStyle w:val="Heading3"/>
      </w:pPr>
      <w:r>
        <w:t xml:space="preserve">9.5 Aspectos Transversales</w:t>
      </w:r>
    </w:p>
    <w:bookmarkStart w:id="44"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44"/>
    <w:bookmarkStart w:id="45"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Cada caso de uso abre una transacción local que solo escribe los esquemas de su propio servicio; no hay transacciones distribuidas.</w:t>
      </w:r>
    </w:p>
    <w:bookmarkEnd w:id="45"/>
    <w:bookmarkStart w:id="46"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w:t>
      </w:r>
      <w:r>
        <w:t xml:space="preserve">en los servicios Java y</w:t>
      </w:r>
      <w:r>
        <w:t xml:space="preserve"> </w:t>
      </w:r>
      <w:r>
        <w:rPr>
          <w:i/>
          <w:iCs/>
        </w:rPr>
        <w:t xml:space="preserve">CorrelationIdMiddleware</w:t>
      </w:r>
      <w:r>
        <w:t xml:space="preserve"> </w:t>
      </w:r>
      <w:r>
        <w:t xml:space="preserve">en payment-service, clave</w:t>
      </w:r>
      <w:r>
        <w:t xml:space="preserve"> </w:t>
      </w:r>
      <w:r>
        <w:rPr>
          <w:i/>
          <w:iCs/>
        </w:rPr>
        <w:t xml:space="preserve">correlationId</w:t>
      </w:r>
      <w:r>
        <w:t xml:space="preserve">, encabezado</w:t>
      </w:r>
      <w:r>
        <w:t xml:space="preserve"> </w:t>
      </w:r>
      <w:r>
        <w:rPr>
          <w:i/>
          <w:iCs/>
        </w:rPr>
        <w:t xml:space="preserve">X-Correlation-Id</w:t>
      </w:r>
      <w:r>
        <w:t xml:space="preserve">). El encabezado se reenvía en las llamadas de booking-service a customer-service, de operations-service a booking-service y security-service, y de payment-service a booking-service. Falta reenviarlo en las llamadas de customer-service y notification-service a security-service y en los mensajes de RabbitMQ, y que el gateway lo genere (TD-007).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Autenticación ausente, no válida o vencida.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46"/>
    <w:bookmarkStart w:id="47"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47"/>
    <w:bookmarkStart w:id="48"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48"/>
    <w:bookmarkEnd w:id="49"/>
    <w:bookmarkEnd w:id="50"/>
    <w:bookmarkStart w:id="56" w:name="X6c6d0a25c1a26afb8672b5f4fb6ef91c6ca0e09"/>
    <w:p>
      <w:pPr>
        <w:pStyle w:val="Heading2"/>
      </w:pPr>
      <w:r>
        <w:t xml:space="preserve">10. Estructura del Proyecto</w:t>
      </w:r>
    </w:p>
    <w:bookmarkStart w:id="51"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51"/>
    <w:bookmarkStart w:id="52"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52"/>
    <w:bookmarkStart w:id="53"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bookmarkEnd w:id="54"/>
    <w:bookmarkStart w:id="55" w:name="Xaa6065e37e3accd9dc777cb8a13061544eef53b"/>
    <w:p>
      <w:pPr>
        <w:pStyle w:val="Heading3"/>
      </w:pPr>
      <w:r>
        <w:t xml:space="preserve">10.5 Estructura de la Aplicación Móvil</w:t>
      </w:r>
    </w:p>
    <w:p>
      <w:pPr>
        <w:pStyle w:val="FirstParagraph"/>
      </w:pPr>
      <w:r>
        <w:t xml:space="preserve">La aplicación móvil se organiza en</w:t>
      </w:r>
      <w:r>
        <w:t xml:space="preserve"> </w:t>
      </w:r>
      <w:r>
        <w:rPr>
          <w:i/>
          <w:iCs/>
        </w:rPr>
        <w:t xml:space="preserve">src/modules</w:t>
      </w:r>
      <w:r>
        <w:t xml:space="preserve"> </w:t>
      </w:r>
      <w:r>
        <w:t xml:space="preserve">por rol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w:t>
      </w:r>
      <w:r>
        <w:t xml:space="preserve">y</w:t>
      </w:r>
      <w:r>
        <w:t xml:space="preserve"> </w:t>
      </w:r>
      <w:r>
        <w:rPr>
          <w:i/>
          <w:iCs/>
        </w:rPr>
        <w:t xml:space="preserve">admin</w:t>
      </w:r>
      <w:r>
        <w:t xml:space="preserve">, cada uno con sus</w:t>
      </w:r>
      <w:r>
        <w:t xml:space="preserve"> </w:t>
      </w:r>
      <w:r>
        <w:rPr>
          <w:i/>
          <w:iCs/>
        </w:rPr>
        <w:t xml:space="preserve">screens</w:t>
      </w:r>
      <w:r>
        <w:t xml:space="preserve">),</w:t>
      </w:r>
      <w:r>
        <w:t xml:space="preserve"> </w:t>
      </w:r>
      <w:r>
        <w:rPr>
          <w:i/>
          <w:iCs/>
        </w:rPr>
        <w:t xml:space="preserve">src/shared</w:t>
      </w:r>
      <w:r>
        <w:t xml:space="preserve"> </w:t>
      </w:r>
      <w:r>
        <w:t xml:space="preserve">(componentes y pantallas compartidas de notificaciones, perfil y configuración) y</w:t>
      </w:r>
      <w:r>
        <w:t xml:space="preserve"> </w:t>
      </w:r>
      <w:r>
        <w:rPr>
          <w:i/>
          <w:iCs/>
        </w:rPr>
        <w:t xml:space="preserve">src/app/config/locales</w:t>
      </w:r>
      <w:r>
        <w:t xml:space="preserve"> </w:t>
      </w:r>
      <w:r>
        <w:t xml:space="preserve">(es, en, fr y pt). Todas las llamadas van al gateway mediante</w:t>
      </w:r>
      <w:r>
        <w:t xml:space="preserve"> </w:t>
      </w:r>
      <w:r>
        <w:rPr>
          <w:i/>
          <w:iCs/>
        </w:rPr>
        <w:t xml:space="preserve">EXPO_PUBLIC_API_URL</w:t>
      </w:r>
      <w:r>
        <w:t xml:space="preserve">.</w:t>
      </w:r>
    </w:p>
    <w:p>
      <w:pPr>
        <w:pStyle w:val="BodyText"/>
      </w:pPr>
      <w:r>
        <w:t xml:space="preserve">El informe de inspección del administrador (RF-036) sigue la misma organización que el resto del módulo:</w:t>
      </w:r>
      <w:r>
        <w:t xml:space="preserve"> </w:t>
      </w:r>
      <w:r>
        <w:rPr>
          <w:i/>
          <w:iCs/>
        </w:rPr>
        <w:t xml:space="preserve">core/services/operations/InspectionService.ts</w:t>
      </w:r>
      <w:r>
        <w:t xml:space="preserve"> </w:t>
      </w:r>
      <w:r>
        <w:t xml:space="preserve">llama a los mismos endpoints que la web (</w:t>
      </w:r>
      <w:r>
        <w:rPr>
          <w:i/>
          <w:iCs/>
        </w:rPr>
        <w:t xml:space="preserve">/admin/inspections/...</w:t>
      </w:r>
      <w:r>
        <w:t xml:space="preserve">);</w:t>
      </w:r>
      <w:r>
        <w:t xml:space="preserve"> </w:t>
      </w:r>
      <w:r>
        <w:rPr>
          <w:i/>
          <w:iCs/>
        </w:rPr>
        <w:t xml:space="preserve">modules/admin/viewmodels/useInspection.ts</w:t>
      </w:r>
      <w:r>
        <w:t xml:space="preserve"> </w:t>
      </w:r>
      <w:r>
        <w:t xml:space="preserve">guarda el estado que devuelve el servidor;</w:t>
      </w:r>
      <w:r>
        <w:t xml:space="preserve"> </w:t>
      </w:r>
      <w:r>
        <w:rPr>
          <w:i/>
          <w:iCs/>
        </w:rPr>
        <w:t xml:space="preserve">modules/admin/services/inspectionPhotos.ts</w:t>
      </w:r>
      <w:r>
        <w:t xml:space="preserve"> </w:t>
      </w:r>
      <w:r>
        <w:t xml:space="preserve">toma o elige las fotos con</w:t>
      </w:r>
      <w:r>
        <w:t xml:space="preserve"> </w:t>
      </w:r>
      <w:r>
        <w:rPr>
          <w:i/>
          <w:iCs/>
        </w:rPr>
        <w:t xml:space="preserve">expo-image-picker</w:t>
      </w:r>
      <w:r>
        <w:t xml:space="preserve"> </w:t>
      </w:r>
      <w:r>
        <w:t xml:space="preserve">y las reduce con</w:t>
      </w:r>
      <w:r>
        <w:t xml:space="preserve"> </w:t>
      </w:r>
      <w:r>
        <w:rPr>
          <w:i/>
          <w:iCs/>
        </w:rPr>
        <w:t xml:space="preserve">expo-image-manipulator</w:t>
      </w:r>
      <w:r>
        <w:t xml:space="preserve"> </w:t>
      </w:r>
      <w:r>
        <w:t xml:space="preserve">(lado mayor de 1600 px, JPEG), porque el servidor acepta como máximo 2 MB por foto;</w:t>
      </w:r>
      <w:r>
        <w:t xml:space="preserve"> </w:t>
      </w:r>
      <w:r>
        <w:rPr>
          <w:i/>
          <w:iCs/>
        </w:rPr>
        <w:t xml:space="preserve">modules/admin/components/inspection</w:t>
      </w:r>
      <w:r>
        <w:t xml:space="preserve"> </w:t>
      </w:r>
      <w:r>
        <w:t xml:space="preserve">contiene la tarjeta de cada fase, el formulario de hallazgo y la foto ampliada; y</w:t>
      </w:r>
      <w:r>
        <w:t xml:space="preserve"> </w:t>
      </w:r>
      <w:r>
        <w:rPr>
          <w:i/>
          <w:iCs/>
        </w:rPr>
        <w:t xml:space="preserve">modules/admin/screens/AdminInspectionScreen.tsx</w:t>
      </w:r>
      <w:r>
        <w:t xml:space="preserve"> </w:t>
      </w:r>
      <w:r>
        <w:t xml:space="preserve">es la pantalla, que se abre desde el detalle de la reserva (ruta de navegación</w:t>
      </w:r>
      <w:r>
        <w:t xml:space="preserve"> </w:t>
      </w:r>
      <w:r>
        <w:rPr>
          <w:i/>
          <w:iCs/>
        </w:rPr>
        <w:t xml:space="preserve">AdminInspection</w:t>
      </w:r>
      <w:r>
        <w:t xml:space="preserve">). Los textos de este módulo están en</w:t>
      </w:r>
      <w:r>
        <w:t xml:space="preserve"> </w:t>
      </w:r>
      <w:r>
        <w:rPr>
          <w:i/>
          <w:iCs/>
        </w:rPr>
        <w:t xml:space="preserve">modules/admin/constants/inspectionTexts.ts</w:t>
      </w:r>
      <w:r>
        <w:t xml:space="preserve">, en los cuatro idiomas.</w:t>
      </w:r>
    </w:p>
    <w:bookmarkEnd w:id="55"/>
    <w:bookmarkEnd w:id="56"/>
    <w:bookmarkStart w:id="68"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57 tablas.</w:t>
      </w:r>
    </w:p>
    <w:bookmarkStart w:id="60" w:name="X6071b9d2fbbb5bb53b1c45b99eaef0a3a1fbab5"/>
    <w:p>
      <w:pPr>
        <w:pStyle w:val="Heading3"/>
      </w:pPr>
      <w:r>
        <w:t xml:space="preserve">11.1 Diagrama Entidad-Relación</w:t>
      </w:r>
    </w:p>
    <w:p>
      <w:pPr>
        <w:pStyle w:val="FirstParagraph"/>
      </w:pPr>
      <w:r>
        <w:t xml:space="preserve">La Figura 2 se generó directamente desde la base de datos</w:t>
      </w:r>
      <w:r>
        <w:t xml:space="preserve"> </w:t>
      </w:r>
      <w:r>
        <w:rPr>
          <w:i/>
          <w:iCs/>
        </w:rPr>
        <w:t xml:space="preserve">LavaRapido</w:t>
      </w:r>
      <w:r>
        <w:t xml:space="preserve"> </w:t>
      </w:r>
      <w:r>
        <w:t xml:space="preserve">(catálogo</w:t>
      </w:r>
      <w:r>
        <w:t xml:space="preserve"> </w:t>
      </w:r>
      <w:r>
        <w:rPr>
          <w:i/>
          <w:iCs/>
        </w:rPr>
        <w:t xml:space="preserve">sys.tables</w:t>
      </w:r>
      <w:r>
        <w:t xml:space="preserve">,</w:t>
      </w:r>
      <w:r>
        <w:t xml:space="preserve"> </w:t>
      </w:r>
      <w:r>
        <w:rPr>
          <w:i/>
          <w:iCs/>
        </w:rPr>
        <w:t xml:space="preserve">sys.columns</w:t>
      </w:r>
      <w:r>
        <w:t xml:space="preserve"> </w:t>
      </w:r>
      <w:r>
        <w:t xml:space="preserve">y</w:t>
      </w:r>
      <w:r>
        <w:t xml:space="preserve"> </w:t>
      </w:r>
      <w:r>
        <w:rPr>
          <w:i/>
          <w:iCs/>
        </w:rPr>
        <w:t xml:space="preserve">sys.foreign_keys</w:t>
      </w:r>
      <w:r>
        <w:t xml:space="preserve">) con todos los servicios arrancados. Muestra cada tabla dentro de su esquema, sus llaves primarias y sus llaves foráneas con la tabla a la que apuntan; las demás columnas se resumen como un número. Las referencias entre servicios (por ejemplo,</w:t>
      </w:r>
      <w:r>
        <w:t xml:space="preserve"> </w:t>
      </w:r>
      <w:r>
        <w:rPr>
          <w:i/>
          <w:iCs/>
        </w:rPr>
        <w:t xml:space="preserve">execution.operator.user_id</w:t>
      </w:r>
      <w:r>
        <w:t xml:space="preserve"> </w:t>
      </w:r>
      <w:r>
        <w:t xml:space="preserve">hacia</w:t>
      </w:r>
      <w:r>
        <w:t xml:space="preserve"> </w:t>
      </w:r>
      <w:r>
        <w:rPr>
          <w:i/>
          <w:iCs/>
        </w:rPr>
        <w:t xml:space="preserve">security.app_user</w:t>
      </w:r>
      <w:r>
        <w:t xml:space="preserve">) no aparecen porque no tienen llave foránea (Tabla 10).</w:t>
      </w:r>
    </w:p>
    <w:p>
      <w:pPr>
        <w:pStyle w:val="BodyText"/>
      </w:pPr>
      <w:r>
        <w:rPr>
          <w:b/>
          <w:bCs/>
        </w:rPr>
        <w:t xml:space="preserve">Figura 2</w:t>
      </w:r>
    </w:p>
    <w:p>
      <w:pPr>
        <w:pStyle w:val="BodyText"/>
      </w:pPr>
      <w:r>
        <w:rPr>
          <w:i/>
          <w:iCs/>
        </w:rPr>
        <w:t xml:space="preserve">Diagrama Entidad-Relación del Sistema</w:t>
      </w:r>
    </w:p>
    <w:p>
      <w:pPr>
        <w:pStyle w:val="BodyText"/>
      </w:pPr>
      <w:r>
        <w:drawing>
          <wp:inline>
            <wp:extent cx="5334000" cy="3273742"/>
            <wp:effectExtent b="0" l="0" r="0" t="0"/>
            <wp:docPr descr="Diagrama entidad-relación del sistema"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05abb2a0f7679380d57c0428f7d58bcbeae5d33"/>
    <w:p>
      <w:pPr>
        <w:pStyle w:val="Heading3"/>
      </w:pPr>
      <w:r>
        <w:t xml:space="preserve">11.2 Tablas Principales</w:t>
      </w:r>
    </w:p>
    <w:bookmarkStart w:id="61"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61"/>
    <w:bookmarkStart w:id="62"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62"/>
    <w:bookmarkStart w:id="63"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63"/>
    <w:bookmarkEnd w:id="64"/>
    <w:bookmarkStart w:id="65"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Sí</w:t>
            </w:r>
          </w:p>
        </w:tc>
        <w:tc>
          <w:tcPr/>
          <w:p>
            <w:pPr>
              <w:pStyle w:val="Compact"/>
            </w:pPr>
            <w:r>
              <w:t xml:space="preserve">Fecha de aceptación de los Términos y de la Política de datos al registrarse (changelog 039); nulo en cuentas anteriores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Fecha de creación de la cuenta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y FK a person; dirección de contacto del perfil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No/Sí</w:t>
            </w:r>
          </w:p>
        </w:tc>
        <w:tc>
          <w:tcPr/>
          <w:p>
            <w:pPr>
              <w:pStyle w:val="Compact"/>
            </w:pPr>
            <w:r>
              <w:t xml:space="preserve">PK y FK a app_user; intentos fallidos y bloqueo temporal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030, 034, 035, 036 y 039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 datos del negocio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No/Sí</w:t>
            </w:r>
          </w:p>
        </w:tc>
        <w:tc>
          <w:tcPr/>
          <w:p>
            <w:pPr>
              <w:pStyle w:val="Compact"/>
            </w:pPr>
            <w:r>
              <w:t xml:space="preserve">Una sola fila (singleton único); la editan GET y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No/Sí</w:t>
            </w:r>
          </w:p>
        </w:tc>
        <w:tc>
          <w:tcPr/>
          <w:p>
            <w:pPr>
              <w:pStyle w:val="Compact"/>
            </w:pPr>
            <w:r>
              <w:t xml:space="preserve">PK y FK a operator; especialidad del operario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a operator; nombre único por operario; nivel CERTIFIED, EXPERT o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No/Sí</w:t>
            </w:r>
          </w:p>
        </w:tc>
        <w:tc>
          <w:tcPr/>
          <w:p>
            <w:pPr>
              <w:pStyle w:val="Compact"/>
            </w:pPr>
            <w:r>
              <w:t xml:space="preserve">Un informe por reserva (uq_inspection_report_booking); token público único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No/Sí</w:t>
            </w:r>
          </w:p>
        </w:tc>
        <w:tc>
          <w:tcPr/>
          <w:p>
            <w:pPr>
              <w:pStyle w:val="Compact"/>
            </w:pPr>
            <w:r>
              <w:t xml:space="preserve">FK a inspection_report; una fila por fase (uq_inspection_phase); fase y estado validados por restricciones ck</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No/Sí</w:t>
            </w:r>
          </w:p>
        </w:tc>
        <w:tc>
          <w:tcPr/>
          <w:p>
            <w:pPr>
              <w:pStyle w:val="Compact"/>
            </w:pPr>
            <w:r>
              <w:t xml:space="preserve">FK a inspection_report; severidad INFO, MINOR o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a inspection_finding; JPG o PNG de hasta 2 MB</w:t>
            </w:r>
          </w:p>
        </w:tc>
      </w:tr>
    </w:tbl>
    <w:p>
      <w:pPr>
        <w:pStyle w:val="BodyText"/>
      </w:pPr>
      <w:r>
        <w:rPr>
          <w:i/>
          <w:iCs/>
        </w:rPr>
        <w:t xml:space="preserve">Nota.</w:t>
      </w:r>
      <w:r>
        <w:t xml:space="preserve"> </w:t>
      </w:r>
      <w:r>
        <w:t xml:space="preserve">Fuente: changelogs 007, 033 y 037 y semilla 105 de operations-service.</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24 tipos (de cliente, de personal, de pago, de fidelización, de inspección, de reserva sin operario, de versión nueva de la app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65"/>
    <w:bookmarkStart w:id="66"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Solo el operario asignado inicia o finaliza; solo el día de la reserva; un servicio a la vez.</w:t>
            </w:r>
          </w:p>
        </w:tc>
        <w:tc>
          <w:tcPr/>
          <w:p>
            <w:pPr>
              <w:pStyle w:val="Compact"/>
            </w:pPr>
            <w:r>
              <w:t xml:space="preserve">operations-service.</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66"/>
    <w:bookmarkStart w:id="67"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a 109 semillas), salvo en payment-service, que usa su propia numeración 001 a 020 (TD-019). El número más alto de la numeración global es 030; el siguiente changeset compartido es el 031. La lista de changelogs de cada servicio está en el Manual de Instalación, sección 11.2.</w:t>
      </w:r>
    </w:p>
    <w:bookmarkEnd w:id="67"/>
    <w:bookmarkEnd w:id="68"/>
    <w:bookmarkStart w:id="80" w:name="X5336dbf235dc64b31da6708149e2e592fd888c8"/>
    <w:p>
      <w:pPr>
        <w:pStyle w:val="Heading2"/>
      </w:pPr>
      <w:r>
        <w:t xml:space="preserve">12. Módulos Técnicos</w:t>
      </w:r>
    </w:p>
    <w:bookmarkStart w:id="69"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con la aceptación de los documentos legales, ingreso con JWT y bloqueo por intentos fallidos, sesiones, recuperación de la contraseña por código, perfil (nombre, teléfono, dirección,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LoginLockout y LoginLockoutPersistenceAdapter; UserAddressController;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los identificadores de permisos desconocidos se rechazan con 400 UNKNOWN_PERMISSION; cinco intentos fallidos en 15 minutos bloquean la cuenta durante 15 minutos (</w:t>
      </w:r>
      <w:r>
        <w:rPr>
          <w:i/>
          <w:iCs/>
        </w:rPr>
        <w:t xml:space="preserve">LoginLockout</w:t>
      </w:r>
      <w:r>
        <w:t xml:space="preserve">, 423 ACCOUNT_LOCKED) y un ingreso correcto o el restablecimiento de la contraseña limpian el contador; el registro guarda la fecha de aceptación de los documentos legales cuando llegan</w:t>
      </w:r>
      <w:r>
        <w:t xml:space="preserve"> </w:t>
      </w:r>
      <w:r>
        <w:rPr>
          <w:i/>
          <w:iCs/>
        </w:rPr>
        <w:t xml:space="preserve">acceptsTerms</w:t>
      </w:r>
      <w:r>
        <w:t xml:space="preserve"> </w:t>
      </w:r>
      <w:r>
        <w:t xml:space="preserve">y</w:t>
      </w:r>
      <w:r>
        <w:t xml:space="preserve"> </w:t>
      </w:r>
      <w:r>
        <w:rPr>
          <w:i/>
          <w:iCs/>
        </w:rPr>
        <w:t xml:space="preserve">acceptsDataPolicy</w:t>
      </w:r>
      <w:r>
        <w:t xml:space="preserve">.</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69"/>
    <w:bookmarkStart w:id="70"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70"/>
    <w:bookmarkStart w:id="71"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no se puede reservar, no se guarda nada y la respuesta 409 SLOT_UNAVAILABLE trae hasta cinco horas alternativas del mismo día y el motivo (</w:t>
      </w:r>
      <w:r>
        <w:rPr>
          <w:i/>
          <w:iCs/>
        </w:rPr>
        <w:t xml:space="preserve">reason</w:t>
      </w:r>
      <w:r>
        <w:t xml:space="preserve">: CLOSED_DAY, OUTSIDE_HOURS, TIME_PASSED o NO_FREE_BAY, calculado por</w:t>
      </w:r>
      <w:r>
        <w:t xml:space="preserve"> </w:t>
      </w:r>
      <w:r>
        <w:rPr>
          <w:i/>
          <w:iCs/>
        </w:rPr>
        <w:t xml:space="preserve">AvailabilityPolicy.whyUnavailable</w:t>
      </w:r>
      <w:r>
        <w:t xml:space="preserve">); la solicitud puede traer</w:t>
      </w:r>
      <w:r>
        <w:t xml:space="preserve"> </w:t>
      </w:r>
      <w:r>
        <w:rPr>
          <w:i/>
          <w:iCs/>
        </w:rPr>
        <w:t xml:space="preserve">preferredOperatorId</w:t>
      </w:r>
      <w:r>
        <w:t xml:space="preserve">, que viaja en BookingConfirmed para que operations-service lo respete si está libre;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 los datos del negocio del establecimiento (identidad, información tributaria y canales) se leen y guardan con</w:t>
      </w:r>
      <w:r>
        <w:t xml:space="preserve"> </w:t>
      </w:r>
      <w:r>
        <w:rPr>
          <w:i/>
          <w:iCs/>
        </w:rPr>
        <w:t xml:space="preserve">GET</w:t>
      </w:r>
      <w:r>
        <w:t xml:space="preserve"> </w:t>
      </w:r>
      <w:r>
        <w:t xml:space="preserve">y</w:t>
      </w:r>
      <w:r>
        <w:t xml:space="preserve"> </w:t>
      </w:r>
      <w:r>
        <w:rPr>
          <w:i/>
          <w:iCs/>
        </w:rPr>
        <w:t xml:space="preserve">PUT /api/v1/admin/establishment</w:t>
      </w:r>
      <w:r>
        <w:t xml:space="preserve">; las rutas</w:t>
      </w:r>
      <w:r>
        <w:t xml:space="preserve"> </w:t>
      </w:r>
      <w:r>
        <w:rPr>
          <w:i/>
          <w:iCs/>
        </w:rPr>
        <w:t xml:space="preserve">/internal/v1/bookings</w:t>
      </w:r>
      <w:r>
        <w:t xml:space="preserve"> </w:t>
      </w:r>
      <w:r>
        <w:t xml:space="preserve">sirven a operations-service con la llave interna.</w:t>
      </w:r>
      <w:r>
        <w:t xml:space="preserve"> </w:t>
      </w:r>
      <w:r>
        <w:rPr>
          <w:b/>
          <w:bCs/>
        </w:rPr>
        <w:t xml:space="preserve">Eventos:</w:t>
      </w:r>
      <w:r>
        <w:t xml:space="preserve"> </w:t>
      </w:r>
      <w:r>
        <w:t xml:space="preserve">publica BookingConfirmed (creada o reprogramada) y BookingCancelled.</w:t>
      </w:r>
    </w:p>
    <w:bookmarkEnd w:id="71"/>
    <w:bookmarkStart w:id="72"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perfil y habilidades del operario, asignación manual y automática, ejecución, calificaciones e informes de inspección (ADR-014).</w:t>
      </w:r>
    </w:p>
    <w:p>
      <w:pPr>
        <w:pStyle w:val="BodyText"/>
      </w:pPr>
      <w:r>
        <w:rPr>
          <w:b/>
          <w:bCs/>
        </w:rPr>
        <w:t xml:space="preserve">Reglas:</w:t>
      </w:r>
      <w:r>
        <w:t xml:space="preserve"> </w:t>
      </w:r>
      <w:r>
        <w:t xml:space="preserve">las filas de operarios se crean a partir de las cuentas con el rol OPERATOR; si dos solicitudes crean el mismo operario a la vez, la segunda vuelve a leer la fila ya creada en lugar de fallar;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w:t>
      </w:r>
      <w:r>
        <w:t xml:space="preserve"> </w:t>
      </w:r>
      <w:r>
        <w:rPr>
          <w:b/>
          <w:bCs/>
        </w:rPr>
        <w:t xml:space="preserve">Asignación automática (RF-008):</w:t>
      </w:r>
      <w:r>
        <w:t xml:space="preserve"> </w:t>
      </w:r>
      <w:r>
        <w:t xml:space="preserve">al consumir BookingConfirmed,</w:t>
      </w:r>
      <w:r>
        <w:t xml:space="preserve"> </w:t>
      </w:r>
      <w:r>
        <w:rPr>
          <w:i/>
          <w:iCs/>
        </w:rPr>
        <w:t xml:space="preserve">AutoAssignmentPolicy</w:t>
      </w:r>
      <w:r>
        <w:t xml:space="preserve"> </w:t>
      </w:r>
      <w:r>
        <w:t xml:space="preserve">elige al operario que pidió el cliente si sigue libre y, si no, al libre con menos reservas ese día (a igualdad, el de id menor); si nadie está libre, la reserva queda sin operario para el administrador, y una reprogramación conserva al operario que ya tenía.</w:t>
      </w:r>
      <w:r>
        <w:t xml:space="preserve"> </w:t>
      </w:r>
      <w:r>
        <w:rPr>
          <w:i/>
          <w:iCs/>
        </w:rPr>
        <w:t xml:space="preserve">GET /api/v1/operators/available</w:t>
      </w:r>
      <w:r>
        <w:t xml:space="preserve"> </w:t>
      </w:r>
      <w:r>
        <w:t xml:space="preserve">lista los operarios libres que el cliente puede elegir al reservar. Un servicio se puede iniciar desde 15 minutos antes de la hora reservada (</w:t>
      </w:r>
      <w:r>
        <w:rPr>
          <w:i/>
          <w:iCs/>
        </w:rPr>
        <w:t xml:space="preserve">StartPolicy</w:t>
      </w:r>
      <w:r>
        <w:t xml:space="preserve">);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w:t>
      </w:r>
      <w:r>
        <w:t xml:space="preserve"> </w:t>
      </w:r>
      <w:r>
        <w:rPr>
          <w:b/>
          <w:bCs/>
        </w:rPr>
        <w:t xml:space="preserve">Inspección (RF-036):</w:t>
      </w:r>
      <w:r>
        <w:t xml:space="preserve"> </w:t>
      </w:r>
      <w:r>
        <w:t xml:space="preserve">solo para servicios de 180 minutos o más; fases Recepción, Exterior, Interior, Motor y Entrega; hasta cinco fotos de 2 MB por hallazgo, guardadas en</w:t>
      </w:r>
      <w:r>
        <w:t xml:space="preserve"> </w:t>
      </w:r>
      <w:r>
        <w:rPr>
          <w:i/>
          <w:iCs/>
        </w:rPr>
        <w:t xml:space="preserve">execution.inspection_photo</w:t>
      </w:r>
      <w:r>
        <w:t xml:space="preserve">; el enlace público usa un token aleatorio y solo funciona después de publicar.</w:t>
      </w:r>
      <w:r>
        <w:t xml:space="preserve"> </w:t>
      </w:r>
      <w:r>
        <w:rPr>
          <w:b/>
          <w:bCs/>
        </w:rPr>
        <w:t xml:space="preserve">Eventos:</w:t>
      </w:r>
      <w:r>
        <w:t xml:space="preserve"> </w:t>
      </w:r>
      <w:r>
        <w:t xml:space="preserve">consume</w:t>
      </w:r>
      <w:r>
        <w:t xml:space="preserve"> </w:t>
      </w:r>
      <w:r>
        <w:rPr>
          <w:i/>
          <w:iCs/>
        </w:rPr>
        <w:t xml:space="preserve">booking.confirmed</w:t>
      </w:r>
      <w:r>
        <w:t xml:space="preserve"> </w:t>
      </w:r>
      <w:r>
        <w:t xml:space="preserve">y publica OperatorAssigned, ServiceStarted, ServiceCompleted e InspectionShared.</w:t>
      </w:r>
    </w:p>
    <w:bookmarkEnd w:id="72"/>
    <w:bookmarkStart w:id="73"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pago que reporta el cliente pasa directamente a IN_REVIEW con el monto declarado; una referencia de transacción reutilizada se rechaza;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Correlación y salud:</w:t>
      </w:r>
      <w:r>
        <w:t xml:space="preserve"> </w:t>
      </w:r>
      <w:r>
        <w:rPr>
          <w:i/>
          <w:iCs/>
        </w:rPr>
        <w:t xml:space="preserve">CorrelationIdMiddleware</w:t>
      </w:r>
      <w:r>
        <w:t xml:space="preserve"> </w:t>
      </w:r>
      <w:r>
        <w:t xml:space="preserve">toma o crea el</w:t>
      </w:r>
      <w:r>
        <w:t xml:space="preserve"> </w:t>
      </w:r>
      <w:r>
        <w:rPr>
          <w:i/>
          <w:iCs/>
        </w:rPr>
        <w:t xml:space="preserve">X-Correlation-Id</w:t>
      </w:r>
      <w:r>
        <w:t xml:space="preserve"> </w:t>
      </w:r>
      <w:r>
        <w:t xml:space="preserve">y lo reenvía a booking-service;</w:t>
      </w:r>
      <w:r>
        <w:t xml:space="preserve"> </w:t>
      </w:r>
      <w:r>
        <w:rPr>
          <w:i/>
          <w:iCs/>
        </w:rPr>
        <w:t xml:space="preserve">/health</w:t>
      </w:r>
      <w:r>
        <w:t xml:space="preserve"> </w:t>
      </w:r>
      <w:r>
        <w:t xml:space="preserve">y</w:t>
      </w:r>
      <w:r>
        <w:t xml:space="preserve"> </w:t>
      </w:r>
      <w:r>
        <w:rPr>
          <w:i/>
          <w:iCs/>
        </w:rPr>
        <w:t xml:space="preserve">/actuator/health</w:t>
      </w:r>
      <w:r>
        <w:t xml:space="preserve"> </w:t>
      </w:r>
      <w:r>
        <w:t xml:space="preserve">comprueban SQL Server con un límite de 3 segundos.</w:t>
      </w:r>
    </w:p>
    <w:bookmarkEnd w:id="73"/>
    <w:bookmarkStart w:id="74"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 InspectionShared genera el aviso al cliente con el enlace público del informe (</w:t>
      </w:r>
      <w:r>
        <w:rPr>
          <w:i/>
          <w:iCs/>
        </w:rPr>
        <w:t xml:space="preserve">/report/{token}</w:t>
      </w:r>
      <w:r>
        <w:t xml:space="preserve">); cada pocos minutos</w:t>
      </w:r>
      <w:r>
        <w:t xml:space="preserve"> </w:t>
      </w:r>
      <w:r>
        <w:rPr>
          <w:i/>
          <w:iCs/>
        </w:rPr>
        <w:t xml:space="preserve">UnassignedBookingAlertService</w:t>
      </w:r>
      <w:r>
        <w:t xml:space="preserve"> </w:t>
      </w:r>
      <w:r>
        <w:t xml:space="preserve">avisa a los administradores de las reservas confirmadas que empiezan en menos de 2 horas y siguen sin operario (una vez por reserva); la ruta interna</w:t>
      </w:r>
      <w:r>
        <w:t xml:space="preserve"> </w:t>
      </w:r>
      <w:r>
        <w:rPr>
          <w:i/>
          <w:iCs/>
        </w:rPr>
        <w:t xml:space="preserve">POST /internal/v1/notifications/app-update</w:t>
      </w:r>
      <w:r>
        <w:t xml:space="preserve">, que llama</w:t>
      </w:r>
      <w:r>
        <w:t xml:space="preserve"> </w:t>
      </w:r>
      <w:r>
        <w:rPr>
          <w:i/>
          <w:iCs/>
        </w:rPr>
        <w:t xml:space="preserve">deploy/publish-apk.sh</w:t>
      </w:r>
      <w:r>
        <w:t xml:space="preserve">, avisa por push que hay una versión nueva de la aplicación.</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74"/>
    <w:bookmarkStart w:id="75"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mientras la sesión sigue abierta (una respuesta 401 que llega después de cerrar sesión se ignora, para no mostrar "Tu sesión expiró" a quien salió por su cuenta), y</w:t>
      </w:r>
      <w:r>
        <w:t xml:space="preserve"> </w:t>
      </w:r>
      <w:r>
        <w:rPr>
          <w:i/>
          <w:iCs/>
        </w:rPr>
        <w:t xml:space="preserve">api-error</w:t>
      </w:r>
      <w:r>
        <w:t xml:space="preserve"> </w:t>
      </w:r>
      <w:r>
        <w:t xml:space="preserve">traduce los códigos de error. Todas las pantallas leen y guardan mediante la API: los datos del negocio usan</w:t>
      </w:r>
      <w:r>
        <w:t xml:space="preserve"> </w:t>
      </w:r>
      <w:r>
        <w:rPr>
          <w:i/>
          <w:iCs/>
        </w:rPr>
        <w:t xml:space="preserve">BusinessStore</w:t>
      </w:r>
      <w:r>
        <w:t xml:space="preserve"> </w:t>
      </w:r>
      <w:r>
        <w:t xml:space="preserve">sobre booking-service y los informes de inspección usan</w:t>
      </w:r>
      <w:r>
        <w:t xml:space="preserve"> </w:t>
      </w:r>
      <w:r>
        <w:rPr>
          <w:i/>
          <w:iCs/>
        </w:rPr>
        <w:t xml:space="preserve">inspection-api</w:t>
      </w:r>
      <w:r>
        <w:t xml:space="preserve"> </w:t>
      </w:r>
      <w:r>
        <w:t xml:space="preserve">sobre operations-service (las fotos se comprimen en el navegador antes de enviarse). Solo los reportes se calculan en el navegador a partir de las reservas y los pagos.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 Su cliente HTTP (</w:t>
      </w:r>
      <w:r>
        <w:rPr>
          <w:i/>
          <w:iCs/>
        </w:rPr>
        <w:t xml:space="preserve">core/api/httpClient.ts</w:t>
      </w:r>
      <w:r>
        <w:t xml:space="preserve">) envía JSON o formularios</w:t>
      </w:r>
      <w:r>
        <w:t xml:space="preserve"> </w:t>
      </w:r>
      <w:r>
        <w:rPr>
          <w:i/>
          <w:iCs/>
        </w:rPr>
        <w:t xml:space="preserve">multipart</w:t>
      </w:r>
      <w:r>
        <w:t xml:space="preserve"> </w:t>
      </w:r>
      <w:r>
        <w:t xml:space="preserve">(las fotos de la inspección), admite un tiempo de espera propio por petición (60 segundos para subir fotos) y aplica la misma regla de la web ante un 401.</w:t>
      </w:r>
      <w:r>
        <w:t xml:space="preserve"> </w:t>
      </w:r>
      <w:r>
        <w:rPr>
          <w:i/>
          <w:iCs/>
        </w:rPr>
        <w:t xml:space="preserve">core/api/config.ts</w:t>
      </w:r>
      <w:r>
        <w:t xml:space="preserve"> </w:t>
      </w:r>
      <w:r>
        <w:t xml:space="preserve">expone</w:t>
      </w:r>
      <w:r>
        <w:t xml:space="preserve"> </w:t>
      </w:r>
      <w:r>
        <w:rPr>
          <w:i/>
          <w:iCs/>
        </w:rPr>
        <w:t xml:space="preserve">WEB_URL</w:t>
      </w:r>
      <w:r>
        <w:t xml:space="preserve">, la dirección de la web que se usa para armar el enlace público del informe; se toma de</w:t>
      </w:r>
      <w:r>
        <w:t xml:space="preserve"> </w:t>
      </w:r>
      <w:r>
        <w:rPr>
          <w:i/>
          <w:iCs/>
        </w:rPr>
        <w:t xml:space="preserve">EXPO_PUBLIC_WEB_URL</w:t>
      </w:r>
      <w:r>
        <w:t xml:space="preserve"> </w:t>
      </w:r>
      <w:r>
        <w:t xml:space="preserve">o, si no está, del mismo equipo del gateway con el puerto 4200.</w:t>
      </w:r>
    </w:p>
    <w:bookmarkEnd w:id="75"/>
    <w:bookmarkStart w:id="79"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drawing>
          <wp:inline>
            <wp:extent cx="5334000" cy="2288458"/>
            <wp:effectExtent b="0" l="0" r="0" t="0"/>
            <wp:docPr descr="Diagrama de estados de la reserva" title="" id="77" name="Picture"/>
            <a:graphic>
              <a:graphicData uri="http://schemas.openxmlformats.org/drawingml/2006/picture">
                <pic:pic>
                  <pic:nvPicPr>
                    <pic:cNvPr descr="09_Manual_Tecnico_diagramas/booking-states.png" id="78" name="Picture"/>
                    <pic:cNvPicPr>
                      <a:picLocks noChangeArrowheads="1" noChangeAspect="1"/>
                    </pic:cNvPicPr>
                  </pic:nvPicPr>
                  <pic:blipFill>
                    <a:blip r:embed="rId76"/>
                    <a:stretch>
                      <a:fillRect/>
                    </a:stretch>
                  </pic:blipFill>
                  <pic:spPr bwMode="auto">
                    <a:xfrm>
                      <a:off x="0" y="0"/>
                      <a:ext cx="5334000" cy="2288458"/>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p>
    <w:bookmarkEnd w:id="79"/>
    <w:bookmarkEnd w:id="80"/>
    <w:bookmarkStart w:id="87"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81"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81"/>
    <w:bookmarkStart w:id="82"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antes de su vencimiento (Jones et al., 2015); cerrar la sesión solo cierra el registro de la sesión. Todo servicio valida la firma, el emisor y la audiencia con el mismo secreto.</w:t>
      </w:r>
    </w:p>
    <w:bookmarkEnd w:id="82"/>
    <w:bookmarkStart w:id="84"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 423 ACCOUNT_LOCKED después de cinco intentos fallidos.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Dirección de contacto del perfil.</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Indicadores del día para el panel.</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Historial de cambios del horario, las excepciones y las bahías.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Datos del negocio del establecimiento.</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Especialidad y habilidades de los operarios.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Operarios libres que el cliente puede elegir al reservar.</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Informe de inspección: iniciar, fases, hallazgos con fotos (multipart), publicar y avisar al cliente.</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Público</w:t>
            </w:r>
          </w:p>
        </w:tc>
        <w:tc>
          <w:tcPr/>
          <w:p>
            <w:pPr>
              <w:pStyle w:val="Compact"/>
            </w:pPr>
            <w:r>
              <w:t xml:space="preserve">Informe publicado y sus fotos, sin iniciar sesión.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Llave interna</w:t>
            </w:r>
          </w:p>
        </w:tc>
        <w:tc>
          <w:tcPr/>
          <w:p>
            <w:pPr>
              <w:pStyle w:val="Compact"/>
            </w:pPr>
            <w:r>
              <w:t xml:space="preserve">Reservas para la asignación automática de operations-service.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Llave interna</w:t>
            </w:r>
          </w:p>
        </w:tc>
        <w:tc>
          <w:tcPr/>
          <w:p>
            <w:pPr>
              <w:pStyle w:val="Compact"/>
            </w:pPr>
            <w:r>
              <w:t xml:space="preserve">Aviso push de una versión nueva de la aplicación móvil.</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83"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La hora no se puede reservar</w:t>
            </w:r>
          </w:p>
        </w:tc>
        <w:tc>
          <w:tcPr/>
          <w:p>
            <w:pPr>
              <w:pStyle w:val="Compact"/>
            </w:pPr>
            <w:r>
              <w:t xml:space="preserve">409 SLOT_UNAVAILABLE con hasta cinco horas alternativas y el motivo: CLOSED_DAY, OUTSIDE_HOURS, TIME_PASSED o NO_FREE_BAY.</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83"/>
    <w:bookmarkEnd w:id="84"/>
    <w:bookmarkStart w:id="85"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(asignación automática)</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(con el token del enlace público)</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(enlazado)</w:t>
            </w:r>
          </w:p>
        </w:tc>
        <w:tc>
          <w:tcPr/>
          <w:p>
            <w:pPr>
              <w:pStyle w:val="Compact"/>
            </w:pPr>
            <w:r>
              <w:t xml:space="preserve">No publicado</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w:t>
      </w:r>
    </w:p>
    <w:bookmarkEnd w:id="85"/>
    <w:bookmarkStart w:id="86"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Todos comprueban la base de datos: payment-service espera como máximo 3 segundos a SQL Server y, si no responde, contesta DOWN con el código 503. Las verificaciones de integración recomendadas se describen en el Manual de Instalación, sección 16, y las pruebas de punta a punta de</w:t>
      </w:r>
      <w:r>
        <w:t xml:space="preserve"> </w:t>
      </w:r>
      <w:r>
        <w:rPr>
          <w:i/>
          <w:iCs/>
        </w:rPr>
        <w:t xml:space="preserve">lavarapido-infra/e2e</w:t>
      </w:r>
      <w:r>
        <w:t xml:space="preserve"> </w:t>
      </w:r>
      <w:r>
        <w:t xml:space="preserve">recorren los flujos completos contra los contenedores.</w:t>
      </w:r>
    </w:p>
    <w:bookmarkEnd w:id="86"/>
    <w:bookmarkEnd w:id="87"/>
    <w:bookmarkStart w:id="95"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88"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t xml:space="preserve">Cinco intentos fallidos en 15 minutos bloquean la cuenta durante 15 minutos (423 ACCOUNT_LOCKED, tabla</w:t>
            </w:r>
            <w:r>
              <w:t xml:space="preserve"> </w:t>
            </w:r>
            <w:r>
              <w:rPr>
                <w:i/>
                <w:iCs/>
              </w:rPr>
              <w:t xml:space="preserve">security.login_lockout</w:t>
            </w:r>
            <w:r>
              <w:t xml:space="preserve">); un ingreso correcto o el restablecimiento de la contraseña limpian el contador;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w:t>
            </w:r>
          </w:p>
        </w:tc>
      </w:tr>
      <w:tr>
        <w:tc>
          <w:tcPr/>
          <w:p>
            <w:pPr>
              <w:pStyle w:val="Compact"/>
            </w:pPr>
            <w:r>
              <w:t xml:space="preserve">Revocación</w:t>
            </w:r>
          </w:p>
        </w:tc>
        <w:tc>
          <w:tcPr/>
          <w:p>
            <w:pPr>
              <w:pStyle w:val="Compact"/>
            </w:pPr>
            <w:r>
              <w:t xml:space="preserve">Un token sigue siendo válido hasta que vence (riesgo aceptado de ADR-006).</w:t>
            </w:r>
          </w:p>
        </w:tc>
      </w:tr>
    </w:tbl>
    <w:p>
      <w:pPr>
        <w:pStyle w:val="BodyText"/>
      </w:pPr>
      <w:r>
        <w:rPr>
          <w:i/>
          <w:iCs/>
        </w:rPr>
        <w:t xml:space="preserve">Nota.</w:t>
      </w:r>
      <w:r>
        <w:t xml:space="preserve"> </w:t>
      </w:r>
      <w:r>
        <w:t xml:space="preserve">Fuente: configuración y código de security-service y ADR-006.</w:t>
      </w:r>
    </w:p>
    <w:bookmarkEnd w:id="88"/>
    <w:bookmarkStart w:id="89"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89"/>
    <w:bookmarkStart w:id="90"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90"/>
    <w:bookmarkStart w:id="91"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91"/>
    <w:bookmarkStart w:id="92"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pendiente en el despliegue)</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bloqueo temporal por intentos fallidos; sin límite de solicitudes en el gateway.</w:t>
            </w:r>
          </w:p>
        </w:tc>
        <w:tc>
          <w:tcPr/>
          <w:p>
            <w:pPr>
              <w:pStyle w:val="Compact"/>
            </w:pPr>
            <w:r>
              <w:t xml:space="preserve">Parcial</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92"/>
    <w:bookmarkStart w:id="93"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en la web y en el móvil).</w:t>
      </w:r>
      <w:r>
        <w:t xml:space="preserve"> </w:t>
      </w:r>
      <w:r>
        <w:rPr>
          <w:i/>
          <w:iCs/>
        </w:rPr>
        <w:t xml:space="preserve">RegisterRequest</w:t>
      </w:r>
      <w:r>
        <w:t xml:space="preserve"> </w:t>
      </w:r>
      <w:r>
        <w:t xml:space="preserve">envía</w:t>
      </w:r>
      <w:r>
        <w:t xml:space="preserve"> </w:t>
      </w:r>
      <w:r>
        <w:rPr>
          <w:i/>
          <w:iCs/>
        </w:rPr>
        <w:t xml:space="preserve">acceptsTerms</w:t>
      </w:r>
      <w:r>
        <w:t xml:space="preserve"> </w:t>
      </w:r>
      <w:r>
        <w:t xml:space="preserve">y</w:t>
      </w:r>
      <w:r>
        <w:t xml:space="preserve"> </w:t>
      </w:r>
      <w:r>
        <w:rPr>
          <w:i/>
          <w:iCs/>
        </w:rPr>
        <w:t xml:space="preserve">acceptsDataPolicy</w:t>
      </w:r>
      <w:r>
        <w:t xml:space="preserve">, y security-service guarda la fecha y la hora de cada aceptación en</w:t>
      </w:r>
      <w:r>
        <w:t xml:space="preserve"> </w:t>
      </w:r>
      <w:r>
        <w:rPr>
          <w:i/>
          <w:iCs/>
        </w:rPr>
        <w:t xml:space="preserve">security.app_user</w:t>
      </w:r>
      <w:r>
        <w:t xml:space="preserve"> </w:t>
      </w:r>
      <w:r>
        <w:t xml:space="preserve">(columnas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changelog 039).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93"/>
    <w:bookmarkStart w:id="94" w:name="X7c4f5e5cd0694e75a491bdca6076753b0ac3a9b"/>
    <w:p>
      <w:pPr>
        <w:pStyle w:val="Heading3"/>
      </w:pPr>
      <w:r>
        <w:t xml:space="preserve">14.7 Riesgos Aceptados</w:t>
      </w:r>
    </w:p>
    <w:p>
      <w:pPr>
        <w:pStyle w:val="Compact"/>
        <w:numPr>
          <w:ilvl w:val="0"/>
          <w:numId w:val="1023"/>
        </w:numPr>
      </w:pPr>
      <w:r>
        <w:t xml:space="preserve">Imposibilidad de revocar un JWT antes de su vencimiento.</w:t>
      </w:r>
    </w:p>
    <w:p>
      <w:pPr>
        <w:pStyle w:val="Compact"/>
        <w:numPr>
          <w:ilvl w:val="0"/>
          <w:numId w:val="1023"/>
        </w:numPr>
      </w:pPr>
      <w:r>
        <w:t xml:space="preserve">Firma simétrica HS256 con un secreto compartido entre servicios.</w:t>
      </w:r>
    </w:p>
    <w:p>
      <w:pPr>
        <w:pStyle w:val="Compact"/>
        <w:numPr>
          <w:ilvl w:val="0"/>
          <w:numId w:val="1023"/>
        </w:numPr>
      </w:pPr>
      <w:r>
        <w:t xml:space="preserve">Sin límite de solicitudes en el gateway; el bloqueo de cuentas solo frena los intentos sobre una misma cuenta.</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94"/>
    <w:bookmarkEnd w:id="95"/>
    <w:bookmarkStart w:id="99" w:name="Xb0d403725a415abf60be976e765e65d012012d4"/>
    <w:p>
      <w:pPr>
        <w:pStyle w:val="Heading2"/>
      </w:pPr>
      <w:r>
        <w:t xml:space="preserve">15. Control de Versiones</w:t>
      </w:r>
    </w:p>
    <w:bookmarkStart w:id="96"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 </w:t>
      </w:r>
      <w:r>
        <w:t xml:space="preserve">o</w:t>
      </w:r>
      <w:r>
        <w:t xml:space="preserve"> </w:t>
      </w:r>
      <w:r>
        <w:rPr>
          <w:i/>
          <w:iCs/>
        </w:rPr>
        <w:t xml:space="preserve">feat/*</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y, en el momento de esta revisión, está detrás de</w:t>
      </w:r>
      <w:r>
        <w:t xml:space="preserve"> </w:t>
      </w:r>
      <w:r>
        <w:rPr>
          <w:i/>
          <w:iCs/>
        </w:rPr>
        <w:t xml:space="preserve">develop</w:t>
      </w:r>
      <w:r>
        <w:t xml:space="preserve"> </w:t>
      </w:r>
      <w:r>
        <w:t xml:space="preserve">en los servicios del backend.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96"/>
    <w:bookmarkStart w:id="97"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97"/>
    <w:bookmarkStart w:id="98"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98"/>
    <w:bookmarkEnd w:id="99"/>
    <w:bookmarkStart w:id="108" w:name="X691387749e89fa9fb1df46fcccbad5749f40988"/>
    <w:p>
      <w:pPr>
        <w:pStyle w:val="Heading2"/>
      </w:pPr>
      <w:r>
        <w:t xml:space="preserve">16. Recomendaciones de Mantenimiento</w:t>
      </w:r>
    </w:p>
    <w:bookmarkStart w:id="100"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100"/>
    <w:bookmarkStart w:id="101"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w:t>
      </w:r>
    </w:p>
    <w:bookmarkEnd w:id="101"/>
    <w:bookmarkStart w:id="102"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102"/>
    <w:bookmarkStart w:id="103"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El siguiente changeset de la numeración global es el 040.</w:t>
      </w:r>
    </w:p>
    <w:p>
      <w:pPr>
        <w:pStyle w:val="Compact"/>
        <w:numPr>
          <w:ilvl w:val="0"/>
          <w:numId w:val="1025"/>
        </w:numPr>
      </w:pPr>
      <w:r>
        <w:t xml:space="preserve">El siguiente changeset de la numeración global es el 031.</w:t>
      </w:r>
    </w:p>
    <w:bookmarkEnd w:id="103"/>
    <w:bookmarkStart w:id="104"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El 16 de octubre de 2026 se ejecutaron todas las pruebas con estos resultados: 639 pruebas unitarias y de integración aprobadas (web 43, gateway 34, security-service 147, customer-service 68, booking-service 40, operations-service 54, notification-service 112 y payment-service 141, con 7 omitidas a propósito) y 19 de 19 pruebas de punta a punta aprobadas contra los contenedores (</w:t>
      </w:r>
      <w:r>
        <w:rPr>
          <w:i/>
          <w:iCs/>
        </w:rPr>
        <w:t xml:space="preserve">lavarapido-infra/e2e</w:t>
      </w:r>
      <w:r>
        <w:t xml:space="preserve">: flujo completo de reserva, pago y servicio, inspección y reglas de acceso). Los servicios Java prueban su dominio, sus casos de uso y su capa web sin base de datos (</w:t>
      </w:r>
      <w:r>
        <w:rPr>
          <w:i/>
          <w:iCs/>
        </w:rPr>
        <w:t xml:space="preserve">./mvnw test</w:t>
      </w:r>
      <w:r>
        <w:t xml:space="preserve">); payment-service tiene tres proyectos de prueba (dominio, aplicación e integración). Todavía no hay pruebas de persistencia con un SQL Server real dentro de los servicios Java (TD-010); las pruebas de punta a punta cubren en parte ese hueco.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104"/>
    <w:bookmarkStart w:id="105"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o JWT_SECRET, emisor o audiencia distintos.</w:t>
            </w:r>
          </w:p>
        </w:tc>
        <w:tc>
          <w:tcPr/>
          <w:p>
            <w:pPr>
              <w:pStyle w:val="Compact"/>
            </w:pPr>
            <w:r>
              <w:t xml:space="preserve">Ingresar de nuevo; verificar el archivo .env.</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105"/>
    <w:bookmarkStart w:id="106"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TD-006</w:t>
            </w:r>
          </w:p>
        </w:tc>
        <w:tc>
          <w:tcPr/>
          <w:p>
            <w:pPr>
              <w:pStyle w:val="Compact"/>
            </w:pPr>
            <w:r>
              <w:t xml:space="preserve">Canalización de Jenkins por repositorio.</w:t>
            </w:r>
          </w:p>
        </w:tc>
        <w:tc>
          <w:tcPr/>
          <w:p>
            <w:pPr>
              <w:pStyle w:val="Compact"/>
            </w:pPr>
            <w:r>
              <w:t xml:space="preserve">Media</w:t>
            </w:r>
          </w:p>
        </w:tc>
      </w:tr>
      <w:tr>
        <w:tc>
          <w:tcPr/>
          <w:p>
            <w:pPr>
              <w:pStyle w:val="Compact"/>
            </w:pPr>
            <w:r>
              <w:t xml:space="preserve">TD-007</w:t>
            </w:r>
          </w:p>
        </w:tc>
        <w:tc>
          <w:tcPr/>
          <w:p>
            <w:pPr>
              <w:pStyle w:val="Compact"/>
            </w:pPr>
            <w:r>
              <w:t xml:space="preserve">Reenviar X-Correlation-Id de customer-service y notification-service a security-service y en los mensajes; generarlo en el gateway.</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TD-010</w:t>
            </w:r>
          </w:p>
        </w:tc>
        <w:tc>
          <w:tcPr/>
          <w:p>
            <w:pPr>
              <w:pStyle w:val="Compact"/>
            </w:pPr>
            <w:r>
              <w:t xml:space="preserve">Pruebas de persistencia con un SQL Server real (Testcontainers).</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TD-012</w:t>
            </w:r>
          </w:p>
        </w:tc>
        <w:tc>
          <w:tcPr/>
          <w:p>
            <w:pPr>
              <w:pStyle w:val="Compact"/>
            </w:pPr>
            <w:r>
              <w:t xml:space="preserve">Métricas con Micrometer y Prometheus.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revisado contra el código el 16 de octubre de 2026. Entre el 8 y el 16 de octubre de 2026 se resolvieron TD-001, TD-002, TD-003, TD-009, TD-013, TD-014, TD-015, TD-016, TD-017, TD-018, TD-020 y TD-021; su cierre se registra en el documento de acciones correctivas, preventivas y de mejoramiento.</w:t>
      </w:r>
    </w:p>
    <w:bookmarkEnd w:id="106"/>
    <w:bookmarkStart w:id="107"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 de solicitudes,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107"/>
    <w:bookmarkEnd w:id="108"/>
    <w:bookmarkStart w:id="109"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valida tokens.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109"/>
    <w:bookmarkStart w:id="122"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11">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12">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13">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114">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115">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16">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17">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18">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19">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20">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21">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22"/>
    <w:bookmarkStart w:id="126" w:name="X2e3e49dda673ee34f20c24c82b99ea2a956b06e"/>
    <w:p>
      <w:pPr>
        <w:pStyle w:val="Heading2"/>
      </w:pPr>
      <w:r>
        <w:t xml:space="preserve">18. Anexos</w:t>
      </w:r>
    </w:p>
    <w:bookmarkStart w:id="123" w:name="anexo-a-origen-de-las-figuras"/>
    <w:p>
      <w:pPr>
        <w:pStyle w:val="Heading3"/>
      </w:pPr>
      <w:r>
        <w:t xml:space="preserve">Anexo A. Origen de las Figuras</w:t>
      </w:r>
    </w:p>
    <w:p>
      <w:pPr>
        <w:pStyle w:val="FirstParagraph"/>
      </w:pPr>
      <w:r>
        <w:t xml:space="preserve">Las Figuras 1 y 3 son diagramas elaborados a partir del código. La Figura 2 se generó el 16 de octubre de 2026 desde la base de datos real, con todos los servicios arrancados, por lo que muestra las 57 tablas tal como existen. Ninguna figura contiene secretos ni datos personales.</w:t>
      </w:r>
    </w:p>
    <w:bookmarkEnd w:id="123"/>
    <w:bookmarkStart w:id="124"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valida tokens; lo hace cada servicio.</w:t>
            </w:r>
          </w:p>
        </w:tc>
      </w:tr>
      <w:tr>
        <w:tc>
          <w:tcPr/>
          <w:p>
            <w:pPr>
              <w:pStyle w:val="Compact"/>
            </w:pPr>
            <w:r>
              <w:t xml:space="preserve">Bloqueo de cuenta</w:t>
            </w:r>
          </w:p>
        </w:tc>
        <w:tc>
          <w:tcPr/>
          <w:p>
            <w:pPr>
              <w:pStyle w:val="Compact"/>
            </w:pPr>
            <w:r>
              <w:t xml:space="preserve">La versión 3.1 indicaba que no existía.</w:t>
            </w:r>
          </w:p>
        </w:tc>
        <w:tc>
          <w:tcPr/>
          <w:p>
            <w:pPr>
              <w:pStyle w:val="Compact"/>
            </w:pPr>
            <w:r>
              <w:t xml:space="preserve">Código del 2026-10-16: cinco intentos fallidos en 15 minutos bloquean la cuenta 15 minutos (RF-004b). Resuelta.</w:t>
            </w:r>
          </w:p>
        </w:tc>
      </w:tr>
      <w:tr>
        <w:tc>
          <w:tcPr/>
          <w:p>
            <w:pPr>
              <w:pStyle w:val="Compact"/>
            </w:pPr>
            <w:r>
              <w:t xml:space="preserve">Asignación de operarios</w:t>
            </w:r>
          </w:p>
        </w:tc>
        <w:tc>
          <w:tcPr/>
          <w:p>
            <w:pPr>
              <w:pStyle w:val="Compact"/>
            </w:pPr>
            <w:r>
              <w:t xml:space="preserve">La versión 3.1 indicaba asignación solo manual y sin elección del cliente.</w:t>
            </w:r>
          </w:p>
        </w:tc>
        <w:tc>
          <w:tcPr/>
          <w:p>
            <w:pPr>
              <w:pStyle w:val="Compact"/>
            </w:pPr>
            <w:r>
              <w:t xml:space="preserve">Código del 2026-10-16: asignación automática al confirmarse la reserva con la elección opcional del cliente (RF-008 y RF-010). Resuelta.</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3.1 citaba 49.</w:t>
            </w:r>
          </w:p>
        </w:tc>
        <w:tc>
          <w:tcPr/>
          <w:p>
            <w:pPr>
              <w:pStyle w:val="Compact"/>
            </w:pPr>
            <w:r>
              <w:t xml:space="preserve">57 tablas al 2026-10-16, comprobadas en la base de datos (se agregaron las del bloqueo de cuenta, la dirección de la persona, el perfil y las habilidades del operario y los cuatro de la inspección).</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lavarapido-infra</w:t>
            </w:r>
          </w:p>
        </w:tc>
        <w:tc>
          <w:tcPr/>
          <w:p>
            <w:pPr>
              <w:pStyle w:val="Compact"/>
            </w:pPr>
            <w:r>
              <w:t xml:space="preserve">Marcaba operations-service y payment-service como planeados.</w:t>
            </w:r>
          </w:p>
        </w:tc>
        <w:tc>
          <w:tcPr/>
          <w:p>
            <w:pPr>
              <w:pStyle w:val="Compact"/>
            </w:pPr>
            <w:r>
              <w:t xml:space="preserve">Corregido el 2026-10-16: todos los servicios aparecen como implementados. Resuelta.</w:t>
            </w:r>
          </w:p>
        </w:tc>
      </w:tr>
      <w:tr>
        <w:tc>
          <w:tcPr/>
          <w:p>
            <w:pPr>
              <w:pStyle w:val="Compact"/>
            </w:pPr>
            <w:r>
              <w:t xml:space="preserve">Guía del equipo (sección 6)</w:t>
            </w:r>
          </w:p>
        </w:tc>
        <w:tc>
          <w:tcPr/>
          <w:p>
            <w:pPr>
              <w:pStyle w:val="Compact"/>
            </w:pPr>
            <w:r>
              <w:t xml:space="preserve">Listaba como datos de prueba pantallas que ya estaban conectadas.</w:t>
            </w:r>
          </w:p>
        </w:tc>
        <w:tc>
          <w:tcPr/>
          <w:p>
            <w:pPr>
              <w:pStyle w:val="Compact"/>
            </w:pPr>
            <w:r>
              <w:t xml:space="preserve">Corregida el 2026-10-16: solo quedan los reportes, calculados en el navegador, y la matriz de permisos, que no se aplica. Resuelta.</w:t>
            </w:r>
          </w:p>
        </w:tc>
      </w:tr>
      <w:tr>
        <w:tc>
          <w:tcPr/>
          <w:p>
            <w:pPr>
              <w:pStyle w:val="Compact"/>
            </w:pPr>
            <w:r>
              <w:t xml:space="preserve">Textos de la interfaz</w:t>
            </w:r>
          </w:p>
        </w:tc>
        <w:tc>
          <w:tcPr/>
          <w:p>
            <w:pPr>
              <w:pStyle w:val="Compact"/>
            </w:pPr>
            <w:r>
              <w:t xml:space="preserve">La página de bienvenida anunciaba un servicio "donde estés", el botón "Reportar progreso" no enviaba nada, la opción "Eliminar cuenta" solo desactivaba la cuenta y los textos del reembolso estaban solo en español.</w:t>
            </w:r>
          </w:p>
        </w:tc>
        <w:tc>
          <w:tcPr/>
          <w:p>
            <w:pPr>
              <w:pStyle w:val="Compact"/>
            </w:pPr>
            <w:r>
              <w:t xml:space="preserve">Corregidos el 2026-10-16: la página habla del servicio en el lavadero, el botón se retiró, la opción se llama "Desactivar mi cuenta" y el reembolso está traducido a los cuatro idiomas. Resuelta.</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24"/>
    <w:bookmarkStart w:id="125"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incluido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6" Target="media/rId76.png" /><Relationship Type="http://schemas.openxmlformats.org/officeDocument/2006/relationships/image" Id="rId57" Target="media/rId57.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2026-10-17T22:05:40Z</dcterms:created>
  <dcterms:modified xsi:type="dcterms:W3CDTF">2026-10-17T22:05:40Z</dcterms:modified>
</cp:coreProperties>
</file>

<file path=docProps/custom.xml><?xml version="1.0" encoding="utf-8"?>
<Properties xmlns="http://schemas.openxmlformats.org/officeDocument/2006/custom-properties" xmlns:vt="http://schemas.openxmlformats.org/officeDocument/2006/docPropsVTypes"/>
</file>