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  <Override PartName="/word/media/rId24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9.png" ContentType="image/png"/>
  <Override PartName="/word/media/rId142.png" ContentType="image/png"/>
  <Override PartName="/word/media/rId64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25.png" ContentType="image/png"/>
  <Override PartName="/word/media/rId28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31.png" ContentType="image/png"/>
  <Override PartName="/word/media/rId40.png" ContentType="image/png"/>
  <Override PartName="/word/media/rId46.png" ContentType="image/png"/>
  <Override PartName="/word/media/rId24.png" ContentType="image/png"/>
  <Override PartName="/word/media/rId64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9.png" ContentType="image/png"/>
  <Override PartName="/word/media/rId14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1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</w:tbl>
    <w:bookmarkEnd w:id="20"/>
    <w:bookmarkStart w:id="21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21"/>
    <w:bookmarkStart w:id="63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35 pantallas enrutadas y la app móvil 31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22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servicios, descarga de la app, contacto y preguntas frecuentes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Página no encontrada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Avisar que la dirección no existe y volver al inicio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comprobante; con el pago aprobado solo queda el resumen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de la más reciente a la más antigua, pagos, cancelación y calificación;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al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 (crear, activar o desactivar; filtros Habilitados e Inhabilitados), roles y permisos,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de avisos; el detalle lleva a Reservas o al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terminados, del más reciente al más antiguo; el detalle lleva a Calificaciones si el servicio fue calificado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22"/>
    <w:bookmarkStart w:id="23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 ni reporte público; el informe de inspección del administrador sí está desde el 17 de octubre de 2026 (</w:t>
      </w:r>
      <w:r>
        <w:rPr>
          <w:rStyle w:val="VerbatimChar"/>
        </w:rPr>
        <w:t xml:space="preserve">AdminInspection</w:t>
      </w:r>
      <w:r>
        <w:t xml:space="preserve">, que se abre desde el detalle de la reserva).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AdminInspection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/admin/reservations/:id/inspection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</w:t>
      </w:r>
    </w:p>
    <w:bookmarkEnd w:id="23"/>
    <w:bookmarkStart w:id="27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drawing>
          <wp:inline>
            <wp:extent cx="5334000" cy="30207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a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0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muestra la navegación web; el móvil sigue el mismo recorrido por rol, sin landing ni reporte público (la inspección se abre desde el detalle de la reserva).</w:t>
      </w:r>
    </w:p>
    <w:bookmarkEnd w:id="27"/>
    <w:bookmarkStart w:id="61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de nuevo el 19 de octubre de 2026 con el sistema completo en ejecución: la web en Chrome a 1366 × 768 y la app móvil en su versión web (Expo) con tamaño de celular (390 × 844). Los datos visibles son cuentas y reservas de demostración. La Figura 12 se tomó de nuevo el 20 de octubre, después de quitar el cambio de tipo de usuario y el filtro Registrados.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16474484"/>
            <wp:effectExtent b="0" l="0" r="0" t="0"/>
            <wp:docPr descr="Página de inicio pública (web)" title="" id="29" name="Picture"/>
            <a:graphic>
              <a:graphicData uri="http://schemas.openxmlformats.org/drawingml/2006/picture">
                <pic:pic>
                  <pic:nvPicPr>
                    <pic:cNvPr descr="capturas/01-land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4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Inicio de sesión (web)" title="" id="32" name="Picture"/>
            <a:graphic>
              <a:graphicData uri="http://schemas.openxmlformats.org/drawingml/2006/picture">
                <pic:pic>
                  <pic:nvPicPr>
                    <pic:cNvPr descr="capturas/02-log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35" name="Picture"/>
            <a:graphic>
              <a:graphicData uri="http://schemas.openxmlformats.org/drawingml/2006/picture">
                <pic:pic>
                  <pic:nvPicPr>
                    <pic:cNvPr descr="capturas/m01-logi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4623320"/>
            <wp:effectExtent b="0" l="0" r="0" t="0"/>
            <wp:docPr descr="Reservar lavado — cliente (web)" title="" id="38" name="Picture"/>
            <a:graphic>
              <a:graphicData uri="http://schemas.openxmlformats.org/drawingml/2006/picture">
                <pic:pic>
                  <pic:nvPicPr>
                    <pic:cNvPr descr="capturas/03-cliente-reserv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3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Pagos con QR y comprobante — cliente (web)" title="" id="41" name="Picture"/>
            <a:graphic>
              <a:graphicData uri="http://schemas.openxmlformats.org/drawingml/2006/picture">
                <pic:pic>
                  <pic:nvPicPr>
                    <pic:cNvPr descr="capturas/04-cliente-pag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44" name="Picture"/>
            <a:graphic>
              <a:graphicData uri="http://schemas.openxmlformats.org/drawingml/2006/picture">
                <pic:pic>
                  <pic:nvPicPr>
                    <pic:cNvPr descr="capturas/m02-cliente-inici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Servicios asignados — operario (web)" title="" id="47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50" name="Picture"/>
            <a:graphic>
              <a:graphicData uri="http://schemas.openxmlformats.org/drawingml/2006/picture">
                <pic:pic>
                  <pic:nvPicPr>
                    <pic:cNvPr descr="capturas/m03-operario-inici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4556938"/>
            <wp:effectExtent b="0" l="0" r="0" t="0"/>
            <wp:docPr descr="Dashboard — administrador (web)" title="" id="53" name="Picture"/>
            <a:graphic>
              <a:graphicData uri="http://schemas.openxmlformats.org/drawingml/2006/picture">
                <pic:pic>
                  <pic:nvPicPr>
                    <pic:cNvPr descr="capturas/06-admin-dash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reservas — administrador (web)" title="" id="56" name="Picture"/>
            <a:graphic>
              <a:graphicData uri="http://schemas.openxmlformats.org/drawingml/2006/picture">
                <pic:pic>
                  <pic:nvPicPr>
                    <pic:cNvPr descr="capturas/07-admin-reserva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usuarios, roles, servicios y promociones — administrador (web)" title="" id="59" name="Picture"/>
            <a:graphic>
              <a:graphicData uri="http://schemas.openxmlformats.org/drawingml/2006/picture">
                <pic:pic>
                  <pic:nvPicPr>
                    <pic:cNvPr descr="capturas/08-admin-ges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61"/>
    <w:bookmarkStart w:id="62" w:name="X9fae843d516cf687c30c9deb8b717ed489fcfaa"/>
    <w:p>
      <w:pPr>
        <w:pStyle w:val="Heading3"/>
      </w:pPr>
      <w:r>
        <w:t xml:space="preserve">2.5 Diseño adaptable</w:t>
      </w:r>
    </w:p>
    <w:p>
      <w:pPr>
        <w:pStyle w:val="FirstParagraph"/>
      </w:pPr>
      <w:r>
        <w:t xml:space="preserve">Las dos aplicaciones se usan desde 360 píxeles de ancho (RNF-008), el teléfono Android más angosto que soporta el proyecto, sin desplazamiento lateral.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Web.</w:t>
      </w:r>
      <w:r>
        <w:t xml:space="preserve"> </w:t>
      </w:r>
      <w:r>
        <w:t xml:space="preserve">Los puntos de quiebre están en</w:t>
      </w:r>
      <w:r>
        <w:t xml:space="preserve"> </w:t>
      </w:r>
      <w:r>
        <w:rPr>
          <w:rStyle w:val="VerbatimChar"/>
        </w:rPr>
        <w:t xml:space="preserve">src/styles/_breakpoints.scss</w:t>
      </w:r>
      <w:r>
        <w:t xml:space="preserve"> </w:t>
      </w:r>
      <w:r>
        <w:t xml:space="preserve">y se aplican con los mixins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(hasta 768 px) y</w:t>
      </w:r>
      <w:r>
        <w:t xml:space="preserve"> </w:t>
      </w:r>
      <w:r>
        <w:rPr>
          <w:rStyle w:val="VerbatimChar"/>
        </w:rPr>
        <w:t xml:space="preserve">tablet</w:t>
      </w:r>
      <w:r>
        <w:t xml:space="preserve"> </w:t>
      </w:r>
      <w:r>
        <w:t xml:space="preserve">(hasta 1024 px) de</w:t>
      </w:r>
      <w:r>
        <w:t xml:space="preserve"> </w:t>
      </w:r>
      <w:r>
        <w:rPr>
          <w:rStyle w:val="VerbatimChar"/>
        </w:rPr>
        <w:t xml:space="preserve">_mixins.scss</w:t>
      </w:r>
      <w:r>
        <w:t xml:space="preserve">. Desde 768 px el menú lateral se abre con el botón ☰, y el contenido de las páginas con menú deja 72 px arriba para ese botón (regla global en</w:t>
      </w:r>
      <w:r>
        <w:t xml:space="preserve"> </w:t>
      </w:r>
      <w:r>
        <w:rPr>
          <w:rStyle w:val="VerbatimChar"/>
        </w:rPr>
        <w:t xml:space="preserve">styles.scss</w:t>
      </w:r>
      <w:r>
        <w:t xml:space="preserve">). Los títulos usan un interlineado relativo de 1,25, porque el tema de Material fija 20 px en el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y un título más grande se montaba sobre sí mismo al partirse en dos líneas. Las tablas anchas se desplazan dentro de su tarjeta; la de servicios asignados del operario se muestra como tarjetas desde 600 px. En el celular, el panel del cliente pone las estadísticas y los accesos de a dos por fila, las pantallas de autenticación usan todo el ancho y la barra de la landing deja solo el idioma e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 </w:t>
      </w:r>
      <w:r>
        <w:t xml:space="preserve">desde 420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Móvil.</w:t>
      </w:r>
      <w:r>
        <w:t xml:space="preserve"> </w:t>
      </w:r>
      <w:r>
        <w:t xml:space="preserve">Las pantallas se arman con Flexbox: las tarjetas de estadística van de a dos por fila (</w:t>
      </w:r>
      <w:r>
        <w:rPr>
          <w:rStyle w:val="VerbatimChar"/>
        </w:rPr>
        <w:t xml:space="preserve">StatGrid</w:t>
      </w:r>
      <w:r>
        <w:t xml:space="preserve">), las filas de botones se envuelven y los campos de filtro crecen a lo ancho sin perder su alto de 46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Verificación.</w:t>
      </w:r>
      <w:r>
        <w:t xml:space="preserve"> </w:t>
      </w:r>
      <w:r>
        <w:t xml:space="preserve">El 17 de octubre de 2026 se midieron con Playwright 60 pantallas de la web (30 a 360 px y 30 a 768 px) y 26 de la app móvil a 360 px, en su versión web: ninguna se sale de lado ni recorta contenido. La prueba del equipo</w:t>
      </w:r>
      <w:r>
        <w:t xml:space="preserve"> </w:t>
      </w:r>
      <w:r>
        <w:rPr>
          <w:rStyle w:val="VerbatimChar"/>
        </w:rPr>
        <w:t xml:space="preserve">e2e/width-360.js</w:t>
      </w:r>
      <w:r>
        <w:t xml:space="preserve"> </w:t>
      </w:r>
      <w:r>
        <w:t xml:space="preserve">(lavarapido-infra) cubre la misma regla para la web.</w:t>
      </w:r>
    </w:p>
    <w:bookmarkEnd w:id="62"/>
    <w:bookmarkEnd w:id="63"/>
    <w:bookmarkStart w:id="78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67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drawing>
          <wp:inline>
            <wp:extent cx="5334000" cy="655461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a-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</w:t>
      </w:r>
    </w:p>
    <w:p>
      <w:pPr>
        <w:pStyle w:val="FirstParagraph"/>
      </w:pPr>
      <w:r>
        <w:t xml:space="preserve">La web y el móvil solo llaman al puerto 8080. El gateway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sin validarlo; cada servicio valida el JWT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67"/>
    <w:bookmarkStart w:id="68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68"/>
    <w:bookmarkStart w:id="69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 y los operarios libres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security.user.email-changed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security.user.password-changed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security.user.deactivated</w:t>
            </w:r>
          </w:p>
        </w:tc>
        <w:tc>
          <w:tcPr/>
          <w:p>
            <w:pPr>
              <w:pStyle w:val="Compact"/>
            </w:pPr>
            <w:r>
              <w:t xml:space="preserve">security (solo los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ExecutionEvent.java:14-16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notification escucha también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pero ningún servicio publica esa llave.</w:t>
      </w:r>
    </w:p>
    <w:p>
      <w:pPr>
        <w:pStyle w:val="FirstParagraph"/>
      </w:pPr>
      <w:r>
        <w:t xml:space="preserve">Las colas de notification y customer tienen su cola de mensajes muertos (dead letter). La cola de operations (</w:t>
      </w:r>
      <w:r>
        <w:rPr>
          <w:rStyle w:val="VerbatimChar"/>
        </w:rPr>
        <w:t xml:space="preserve">operations-service.events</w:t>
      </w:r>
      <w:r>
        <w:t xml:space="preserve">, 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 no la tiene: si la asignación automática falla, se registra en el log y la reserva queda para la alerta de reserva sin operario y la asignación manual (</w:t>
      </w:r>
      <w:r>
        <w:rPr>
          <w:rStyle w:val="VerbatimChar"/>
        </w:rPr>
        <w:t xml:space="preserve">BookingConfirmedListener.java</w:t>
      </w:r>
      <w:r>
        <w:t xml:space="preserve">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bookmarkEnd w:id="69"/>
    <w:bookmarkStart w:id="73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drawing>
          <wp:inline>
            <wp:extent cx="5334000" cy="201045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iagrama-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73"/>
    <w:bookmarkStart w:id="77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drawing>
          <wp:inline>
            <wp:extent cx="5334000" cy="549291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diagram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2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p>
      <w:pPr>
        <w:pStyle w:val="BodyText"/>
      </w:pPr>
      <w:r>
        <w:t xml:space="preserve">En producción el mismo archivo de compose corre en una máquina virtual de Azure con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encima: se agregan dos contenedores,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 con el build de Angular) y</w:t>
      </w:r>
      <w:r>
        <w:t xml:space="preserve"> </w:t>
      </w:r>
      <w:r>
        <w:rPr>
          <w:rStyle w:val="VerbatimChar"/>
        </w:rPr>
        <w:t xml:space="preserve">caddy</w:t>
      </w:r>
      <w:r>
        <w:t xml:space="preserve">, que es el único con puertos publicados (80 y 443, con el certificado HTTPS que gestiona Caddy). Caddy envía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al gateway,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 </w:t>
      </w:r>
      <w:r>
        <w:t xml:space="preserve">a la descarga del APK y su</w:t>
      </w:r>
      <w:r>
        <w:t xml:space="preserve"> </w:t>
      </w:r>
      <w:r>
        <w:rPr>
          <w:rStyle w:val="VerbatimChar"/>
        </w:rPr>
        <w:t xml:space="preserve">version.json</w:t>
      </w:r>
      <w:r>
        <w:t xml:space="preserve">, y todo lo demás a la web. Ningún servicio publica puertos en el servidor, Mailpit no se levanta (los correos salen por Gmail SMTP) y el servidor se actualiza con</w:t>
      </w:r>
      <w:r>
        <w:t xml:space="preserve"> </w:t>
      </w:r>
      <w:r>
        <w:rPr>
          <w:rStyle w:val="VerbatimChar"/>
        </w:rPr>
        <w:t xml:space="preserve">deploy/update-server.sh</w:t>
      </w:r>
      <w:r>
        <w:t xml:space="preserve">, por un integrante del equipo por SSH o desde el flujo manual de GitHub Actions "Desplegar en Azure" (</w:t>
      </w:r>
      <w:r>
        <w:rPr>
          <w:rStyle w:val="VerbatimChar"/>
        </w:rPr>
        <w:t xml:space="preserve">deploy/ci-deploy.sh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lavarapido-infra/docker-compose.prod.yml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; diagrama en</w:t>
      </w:r>
      <w:r>
        <w:t xml:space="preserve"> </w:t>
      </w:r>
      <w:r>
        <w:rPr>
          <w:rStyle w:val="VerbatimChar"/>
        </w:rPr>
        <w:t xml:space="preserve">vehicle-w-docs/08-uml/diagrams/source/deployment-production.md</w:t>
      </w:r>
      <w:r>
        <w:t xml:space="preserve">.</w:t>
      </w:r>
    </w:p>
    <w:bookmarkEnd w:id="77"/>
    <w:bookmarkEnd w:id="78"/>
    <w:bookmarkStart w:id="80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17 patrones verificables: 5 de arquitectura, 8 de diseño en el backend y 4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 de datos por servicio (esquema por servicio)</w:t>
            </w:r>
          </w:p>
        </w:tc>
        <w:tc>
          <w:tcPr/>
          <w:p>
            <w:pPr>
              <w:pStyle w:val="Compact"/>
            </w:pPr>
            <w:r>
              <w:t xml:space="preserve">Changelogs Liquibase por servicio; sin FK entre esquemas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bookmarkStart w:id="79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79"/>
    <w:bookmarkEnd w:id="80"/>
    <w:bookmarkStart w:id="106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039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038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security.custom_role</w:t>
      </w:r>
      <w:r>
        <w:t xml:space="preserve"> </w:t>
      </w:r>
      <w:r>
        <w:t xml:space="preserve">se creó en</w:t>
      </w:r>
      <w:r>
        <w:t xml:space="preserve"> </w:t>
      </w:r>
      <w:r>
        <w:rPr>
          <w:rStyle w:val="VerbatimChar"/>
        </w:rPr>
        <w:t xml:space="preserve">023</w:t>
      </w:r>
      <w:r>
        <w:t xml:space="preserve"> </w:t>
      </w:r>
      <w:r>
        <w:t xml:space="preserve">y se eliminó en</w:t>
      </w:r>
      <w:r>
        <w:t xml:space="preserve"> </w:t>
      </w:r>
      <w:r>
        <w:rPr>
          <w:rStyle w:val="VerbatimChar"/>
        </w:rPr>
        <w:t xml:space="preserve">026</w:t>
      </w:r>
      <w:r>
        <w:t xml:space="preserve">; no se cuenta. Documentos anteriores (</w:t>
      </w:r>
      <w:r>
        <w:rPr>
          <w:rStyle w:val="VerbatimChar"/>
        </w:rPr>
        <w:t xml:space="preserve">MODELO-DE-DATOS.md</w:t>
      </w:r>
      <w:r>
        <w:t xml:space="preserve">) hablan de 43 tablas: los changelogs agregaron después</w:t>
      </w:r>
      <w:r>
        <w:t xml:space="preserve"> </w:t>
      </w:r>
      <w:r>
        <w:rPr>
          <w:rStyle w:val="VerbatimChar"/>
        </w:rPr>
        <w:t xml:space="preserve">bay_status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booking_reminder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booking_tracking</w:t>
      </w:r>
      <w:r>
        <w:t xml:space="preserve">.</w:t>
      </w:r>
    </w:p>
    <w:bookmarkStart w:id="81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 de las tablas que se editan (16 triggers); en payment,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lo hace antes de guardar. Solo payment-service compara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al actualizar (token de concurrencia de EF Core); los servicios Java todavía no lo revisan.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81"/>
    <w:bookmarkStart w:id="94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838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iagram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8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88398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iagrama-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193415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diagrama-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443207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diagrama-8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security.app_user(user_id PK, person_id → person UK, username UK, password_hash, is_active, last_login, created_at, terms_accepted_at, data_policy_accepted_at)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payment.loyalty_transaction(loyalty_transaction_id PK, customer_id ⇢ security.app_user (guarda el user_id del cliente, ADR-015),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95"/>
    <w:bookmarkStart w:id="105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96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los Términos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data_policy_accepted_at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la Política de Tratamiento de Datos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, Ley 1581 de 2012)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96"/>
    <w:bookmarkStart w:id="97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 existe, pero todavía ningún trigger ni servicio escribe en ella; quién cambió cada fila y cuándo lo guarda el bloque de auditoría de cada tabla (sección 5.1).</w:t>
      </w:r>
    </w:p>
    <w:bookmarkEnd w:id="97"/>
    <w:bookmarkStart w:id="98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prevista del saldo de puntos (≥ 0); ningún flujo la actualiza, el saldo se lee de</w:t>
            </w:r>
            <w:r>
              <w:t xml:space="preserve"> </w:t>
            </w:r>
            <w:r>
              <w:rPr>
                <w:rStyle w:val="VerbatimChar"/>
              </w:rPr>
              <w:t xml:space="preserve">payment.loyalty_transaction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8"/>
    <w:bookmarkStart w:id="99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da el servicio cuando se aprueba el pago de la reserva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9"/>
    <w:bookmarkStart w:id="100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(seis motivos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100"/>
    <w:bookmarkStart w:id="101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101"/>
    <w:bookmarkStart w:id="102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security.app_user; UK con sequence_no</w:t>
            </w:r>
          </w:p>
        </w:tc>
        <w:tc>
          <w:tcPr/>
          <w:p>
            <w:pPr>
              <w:pStyle w:val="Compact"/>
            </w:pPr>
            <w:r>
              <w:t xml:space="preserve">user_id del cliente (el nombre viene de la primera migración, ADR-015)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2"/>
    <w:bookmarkStart w:id="103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 (el código todavía no lo lee: se ofrece toda promoción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3"/>
    <w:bookmarkStart w:id="104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23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ADMIN_BOOKING_UNASSIGNED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104"/>
    <w:bookmarkEnd w:id="105"/>
    <w:bookmarkEnd w:id="106"/>
    <w:bookmarkStart w:id="147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4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4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4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113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drawing>
          <wp:inline>
            <wp:extent cx="5334000" cy="4197803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diagrama-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7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drawing>
          <wp:inline>
            <wp:extent cx="5334000" cy="198664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diagrama-1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AuthenticationService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TokenIssuer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PasswordRecoveryService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ResetAttemptCounter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EmailChangeService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AccountDeactivationService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UserPreferenceService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UserPreferenceRepository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RolePermissionAdministrationService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RolePermissionRepository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PersonAddressService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PersonAddressRepository</w:t>
      </w:r>
      <w:r>
        <w:t xml:space="preserve">.</w:t>
      </w:r>
    </w:p>
    <w:bookmarkEnd w:id="113"/>
    <w:bookmarkStart w:id="117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drawing>
          <wp:inline>
            <wp:extent cx="5334000" cy="33915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diagrama-1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bookmarkEnd w:id="117"/>
    <w:bookmarkStart w:id="124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drawing>
          <wp:inline>
            <wp:extent cx="5334000" cy="439170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diagrama-1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1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drawing>
          <wp:inline>
            <wp:extent cx="5334000" cy="3837214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diagrama-13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BookingService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 También usa la política de dominio</w:t>
      </w:r>
      <w:r>
        <w:t xml:space="preserve"> </w:t>
      </w:r>
      <w:r>
        <w:rPr>
          <w:rStyle w:val="VerbatimChar"/>
        </w:rPr>
        <w:t xml:space="preserve">AvailabilityPolicy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CatalogService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ScheduleService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.</w:t>
      </w:r>
    </w:p>
    <w:bookmarkEnd w:id="124"/>
    <w:bookmarkStart w:id="131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drawing>
          <wp:inline>
            <wp:extent cx="5334000" cy="664708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diagrama-1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47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drawing>
          <wp:inline>
            <wp:extent cx="5334000" cy="330313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diagrama-1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131"/>
    <w:bookmarkStart w:id="138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drawing>
          <wp:inline>
            <wp:extent cx="5334000" cy="1670276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diagrama-16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drawing>
          <wp:inline>
            <wp:extent cx="5334000" cy="31466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diagrama-17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PaymentCommandService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LoyaltyRewardService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PaymentQueryService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PaymentAccountService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PromotionAdminService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CustomerPromotionService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LoyaltyService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LoyaltyRewardService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BookingPaymentGuard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AmountDueCalculator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.</w:t>
      </w:r>
    </w:p>
    <w:bookmarkEnd w:id="138"/>
    <w:bookmarkStart w:id="145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drawing>
          <wp:inline>
            <wp:extent cx="5334000" cy="167708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diagrama-18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7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drawing>
          <wp:inline>
            <wp:extent cx="5334000" cy="423522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diagrama-19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5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24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bookmarkEnd w:id="145"/>
    <w:bookmarkStart w:id="146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Booking.java:95, 113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ServiceExecution.java:65-80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ServiceExecution.java:82-90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Payment.cs:116-157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Solo desde 15 minutos antes de la hora de la reserva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146"/>
    <w:bookmarkEnd w:id="147"/>
    <w:bookmarkStart w:id="148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suscribe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solo publica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BookingEvent.java:17-18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 Revisión del 20 de octubre de 2026: el 6 ya no aplica (las carpetas locales tienen los nombres reales de los repositorios), el 9 no aparece en el código y el 10 está corregido (la columna Cliente muestra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); los hallazgos 3, 4 y 8 siguen igual.</w:t>
      </w:r>
    </w:p>
    <w:bookmarkEnd w:id="148"/>
    <w:bookmarkStart w:id="160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149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150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152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153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154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155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156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157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58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59">
        <w:r>
          <w:rPr>
            <w:rStyle w:val="Hyperlink"/>
          </w:rPr>
          <w:t xml:space="preserve">https://docs.spring.io/spring-boot/</w:t>
        </w:r>
      </w:hyperlink>
    </w:p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107" Target="media/rId107.png" /><Relationship Type="http://schemas.openxmlformats.org/officeDocument/2006/relationships/hyperlink" Id="rId151" Target="https://alistair.cockburn.us/hexagonal-architecture/" TargetMode="External" /><Relationship Type="http://schemas.openxmlformats.org/officeDocument/2006/relationships/hyperlink" Id="rId149" Target="https://angular.dev/" TargetMode="External" /><Relationship Type="http://schemas.openxmlformats.org/officeDocument/2006/relationships/hyperlink" Id="rId150" Target="https://c4model.com/" TargetMode="External" /><Relationship Type="http://schemas.openxmlformats.org/officeDocument/2006/relationships/hyperlink" Id="rId152" Target="https://docs.expo.dev/" TargetMode="External" /><Relationship Type="http://schemas.openxmlformats.org/officeDocument/2006/relationships/hyperlink" Id="rId153" Target="https://docs.liquibase.com/" TargetMode="External" /><Relationship Type="http://schemas.openxmlformats.org/officeDocument/2006/relationships/hyperlink" Id="rId159" Target="https://docs.spring.io/spring-boot/" TargetMode="External" /><Relationship Type="http://schemas.openxmlformats.org/officeDocument/2006/relationships/hyperlink" Id="rId155" Target="https://learn.microsoft.com/dotnet/" TargetMode="External" /><Relationship Type="http://schemas.openxmlformats.org/officeDocument/2006/relationships/hyperlink" Id="rId156" Target="https://learn.microsoft.com/sql/sql-server/" TargetMode="External" /><Relationship Type="http://schemas.openxmlformats.org/officeDocument/2006/relationships/hyperlink" Id="rId154" Target="https://mermaid.js.org/" TargetMode="External" /><Relationship Type="http://schemas.openxmlformats.org/officeDocument/2006/relationships/hyperlink" Id="rId158" Target="https://reactnative.dev/docs/getting-started" TargetMode="External" /><Relationship Type="http://schemas.openxmlformats.org/officeDocument/2006/relationships/hyperlink" Id="rId157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https://alistair.cockburn.us/hexagonal-architecture/" TargetMode="External" /><Relationship Type="http://schemas.openxmlformats.org/officeDocument/2006/relationships/hyperlink" Id="rId149" Target="https://angular.dev/" TargetMode="External" /><Relationship Type="http://schemas.openxmlformats.org/officeDocument/2006/relationships/hyperlink" Id="rId150" Target="https://c4model.com/" TargetMode="External" /><Relationship Type="http://schemas.openxmlformats.org/officeDocument/2006/relationships/hyperlink" Id="rId152" Target="https://docs.expo.dev/" TargetMode="External" /><Relationship Type="http://schemas.openxmlformats.org/officeDocument/2006/relationships/hyperlink" Id="rId153" Target="https://docs.liquibase.com/" TargetMode="External" /><Relationship Type="http://schemas.openxmlformats.org/officeDocument/2006/relationships/hyperlink" Id="rId159" Target="https://docs.spring.io/spring-boot/" TargetMode="External" /><Relationship Type="http://schemas.openxmlformats.org/officeDocument/2006/relationships/hyperlink" Id="rId155" Target="https://learn.microsoft.com/dotnet/" TargetMode="External" /><Relationship Type="http://schemas.openxmlformats.org/officeDocument/2006/relationships/hyperlink" Id="rId156" Target="https://learn.microsoft.com/sql/sql-server/" TargetMode="External" /><Relationship Type="http://schemas.openxmlformats.org/officeDocument/2006/relationships/hyperlink" Id="rId154" Target="https://mermaid.js.org/" TargetMode="External" /><Relationship Type="http://schemas.openxmlformats.org/officeDocument/2006/relationships/hyperlink" Id="rId158" Target="https://reactnative.dev/docs/getting-started" TargetMode="External" /><Relationship Type="http://schemas.openxmlformats.org/officeDocument/2006/relationships/hyperlink" Id="rId157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2026-10-20T20:42:32Z</dcterms:created>
  <dcterms:modified xsi:type="dcterms:W3CDTF">2026-10-20T20:42:32Z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