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documento: Registro de acciones correctivas, preventivas y de mejoramiento (equipo de desarrollo e instructora) · Versión 2.4</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r>
        <w:tc>
          <w:tcPr/>
          <w:p>
            <w:pPr>
              <w:pStyle w:val="Compact"/>
            </w:pPr>
            <w:r>
              <w:t xml:space="preserve">2.4</w:t>
            </w:r>
          </w:p>
        </w:tc>
        <w:tc>
          <w:tcPr/>
          <w:p>
            <w:pPr>
              <w:pStyle w:val="Compact"/>
            </w:pPr>
            <w:r>
              <w:t xml:space="preserve">2026-10-20</w:t>
            </w:r>
          </w:p>
        </w:tc>
        <w:tc>
          <w:tcPr/>
          <w:p>
            <w:pPr>
              <w:pStyle w:val="Compact"/>
            </w:pPr>
            <w:r>
              <w:t xml:space="preserve">Revisión contra el código del 20 de octubre de 2026: el registro sigue vigente (AM-03, la reprogramación desde la web y la app, y AM-12, los estados de pausa y novedad, siguen abiertas); se completó el nombre de la líder de backend.</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17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AM-08</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43 / 45 = 96 %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655 unitarias y de integración (web 43, gateway 34, servicios Java 430 y payment-service 148) al 19 de octubre de 2026, 19 de punta a punta y 42 casos funcionales</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2026-10-20T20:43:37Z</dcterms:created>
  <dcterms:modified xsi:type="dcterms:W3CDTF">2026-10-20T20:43:37Z</dcterms:modified>
</cp:coreProperties>
</file>

<file path=docProps/custom.xml><?xml version="1.0" encoding="utf-8"?>
<Properties xmlns="http://schemas.openxmlformats.org/officeDocument/2006/custom-properties" xmlns:vt="http://schemas.openxmlformats.org/officeDocument/2006/docPropsVTypes"/>
</file>