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administrador (administradores del negocio y administradores de TI)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Se retiró el cambio de tipo de usuario desde Gestión &gt; Usuarios, que el equipo revirtió en la web, la app y el servidor: el rol se elige al crear la cuenta (sección 10.3). Se quitó el filtro Registrados de la lista de usuarios (sección 9.2). Las notificaciones abren su detalle con un botón para ir a Reservas o al inicio (sección 12.7).</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17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16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con su tipo de usuario y las activa o desactiva.</w:t>
            </w:r>
          </w:p>
        </w:tc>
        <w:tc>
          <w:tcPr/>
          <w:p>
            <w:pPr>
              <w:pStyle w:val="Compact"/>
            </w:pPr>
            <w:r>
              <w:t xml:space="preserve">Las cuentas se desactivan, no se borran; el tipo de usuario no se cambia después de crear la cuenta; una cuenta de administrador no se desactiva y nadie desactiva la suya.</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Un administrador nuevo se crea normalmente desde</w:t>
      </w:r>
      <w:r>
        <w:t xml:space="preserve"> </w:t>
      </w:r>
      <w:r>
        <w:rPr>
          <w:b/>
          <w:bCs/>
        </w:rPr>
        <w:t xml:space="preserve">Gestión &gt; Usuarios &gt; Crear usuario</w:t>
      </w:r>
      <w:r>
        <w:t xml:space="preserve"> </w:t>
      </w:r>
      <w:r>
        <w:t xml:space="preserve">con el rol Administrador (sección 9.3). La web y la app no permiten cambiar el tipo de usuario de una cuenta que ya existe (sección 10.3); si hay que convertir en administrador una cuenta ya creada (por ejemplo, una registrada desde la pantalla pública), el administrador de TI asigna el rol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solo se muestra; no se cambia desde la tabla (sección 10.3).</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(nombre, correo o tipo de usuario) para encontrar una cuenta. Si la búsqueda no encuentra nada,</w:t>
      </w:r>
      <w:r>
        <w:t xml:space="preserve"> </w:t>
      </w:r>
      <w:r>
        <w:rPr>
          <w:b/>
          <w:bCs/>
        </w:rPr>
        <w:t xml:space="preserve">Limpiar filtros</w:t>
      </w:r>
      <w:r>
        <w:t xml:space="preserve"> </w:t>
      </w:r>
      <w:r>
        <w:t xml:space="preserve">vuelve a mostrar las cuentas habilitadas.</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Como el tipo de usuario no se cambia desde el panel (sección 10.3), retirar a un administrador requiere que el administrador de TI le quite ese rol en la base de datos y lo anote en la bitácora del equipo. Tampoco se puede desactivar la propia cuenta, ni desde esta tabla ni desde</w:t>
      </w:r>
      <w:r>
        <w:t xml:space="preserve"> </w:t>
      </w:r>
      <w:r>
        <w:rPr>
          <w:b/>
          <w:bCs/>
        </w:rPr>
        <w:t xml:space="preserve">Perfil</w:t>
      </w:r>
      <w:r>
        <w:t xml:space="preserve">.</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61"/>
    <w:bookmarkStart w:id="62" w:name="X350923d546e66b4dfdb7a10b24d69356fcf7a1b"/>
    <w:p>
      <w:pPr>
        <w:pStyle w:val="Heading3"/>
      </w:pPr>
      <w:r>
        <w:t xml:space="preserve">10.3 Rol de una Persona</w:t>
      </w:r>
    </w:p>
    <w:p>
      <w:pPr>
        <w:pStyle w:val="FirstParagraph"/>
      </w:pPr>
      <w:r>
        <w:t xml:space="preserve">Cada cuenta tiene un solo tipo de usuario (Cliente, Operario o Administrador), que se elige al crearla: Cliente cuando la persona se registra desde la pantalla pública, o el</w:t>
      </w:r>
      <w:r>
        <w:t xml:space="preserve"> </w:t>
      </w:r>
      <w:r>
        <w:rPr>
          <w:b/>
          <w:bCs/>
        </w:rPr>
        <w:t xml:space="preserve">Rol asignado</w:t>
      </w:r>
      <w:r>
        <w:t xml:space="preserve"> </w:t>
      </w:r>
      <w:r>
        <w:t xml:space="preserve">de</w:t>
      </w:r>
      <w:r>
        <w:t xml:space="preserve"> </w:t>
      </w:r>
      <w:r>
        <w:rPr>
          <w:b/>
          <w:bCs/>
        </w:rPr>
        <w:t xml:space="preserve">Crear usuario</w:t>
      </w:r>
      <w:r>
        <w:t xml:space="preserve"> </w:t>
      </w:r>
      <w:r>
        <w:t xml:space="preserve">(sección 9.3) cuando la crea el administrador. Desde el 20 de octubre de 2026 la web y la app no ofrecen cambiar el tipo de usuario de una cuenta ya creada: la columna</w:t>
      </w:r>
      <w:r>
        <w:t xml:space="preserve"> </w:t>
      </w:r>
      <w:r>
        <w:rPr>
          <w:b/>
          <w:bCs/>
        </w:rPr>
        <w:t xml:space="preserve">Tipo de usuario</w:t>
      </w:r>
      <w:r>
        <w:t xml:space="preserve"> </w:t>
      </w:r>
      <w:r>
        <w:t xml:space="preserve">de</w:t>
      </w:r>
      <w:r>
        <w:t xml:space="preserve"> </w:t>
      </w:r>
      <w:r>
        <w:rPr>
          <w:b/>
          <w:bCs/>
        </w:rPr>
        <w:t xml:space="preserve">Gestión &gt; Usuarios</w:t>
      </w:r>
      <w:r>
        <w:t xml:space="preserve"> </w:t>
      </w:r>
      <w:r>
        <w:t xml:space="preserve">solo lo muestra, y el servidor no tiene una ruta para cambiarlo.</w:t>
      </w:r>
    </w:p>
    <w:p>
      <w:pPr>
        <w:pStyle w:val="BodyText"/>
      </w:pPr>
      <w:r>
        <w:t xml:space="preserve">Si de verdad una persona necesita otro rol, el administrador de TI lo ajusta en la base de datos (</w:t>
      </w:r>
      <w:r>
        <w:rPr>
          <w:i/>
          <w:iCs/>
        </w:rPr>
        <w:t xml:space="preserve">security.user_role</w:t>
      </w:r>
      <w:r>
        <w:t xml:space="preserve">, con el mismo procedimiento de la sección 8.4), le pide que cierre la sesión e ingrese de nuevo y registra quién pidió el cambio y el motivo en la bitácora del equipo. Si el nuevo rol es Operario, el servicio de operaciones crea su registro de operario la próxima vez que se listen los operarios; luego se le asignan turnos en</w:t>
      </w:r>
      <w:r>
        <w:t xml:space="preserve"> </w:t>
      </w:r>
      <w:r>
        <w:rPr>
          <w:b/>
          <w:bCs/>
        </w:rPr>
        <w:t xml:space="preserve">Operarios</w:t>
      </w:r>
      <w:r>
        <w:t xml:space="preserve"> </w:t>
      </w:r>
      <w:r>
        <w:t xml:space="preserve">(sección 12).</w:t>
      </w:r>
    </w:p>
    <w:bookmarkEnd w:id="62"/>
    <w:bookmarkEnd w:id="63"/>
    <w:bookmarkStart w:id="79" w:name="X0b2effce8a928dbdb2d407db77e8191da65100d"/>
    <w:p>
      <w:pPr>
        <w:pStyle w:val="Heading2"/>
      </w:pPr>
      <w:r>
        <w:t xml:space="preserve">11. Configuración del Sistema</w:t>
      </w:r>
    </w:p>
    <w:bookmarkStart w:id="67"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8"/>
        </w:numPr>
      </w:pPr>
      <w:r>
        <w:t xml:space="preserve">Hacer clic en el lápiz de la tarjeta que se quiere cambiar.</w:t>
      </w:r>
    </w:p>
    <w:p>
      <w:pPr>
        <w:pStyle w:val="Compact"/>
        <w:numPr>
          <w:ilvl w:val="0"/>
          <w:numId w:val="1028"/>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8"/>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65" name="Picture"/>
            <a:graphic>
              <a:graphicData uri="http://schemas.openxmlformats.org/drawingml/2006/picture">
                <pic:pic>
                  <pic:nvPicPr>
                    <pic:cNvPr descr="capturas/administrador-04b-datos-del-negocio.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9" name="Picture"/>
            <a:graphic>
              <a:graphicData uri="http://schemas.openxmlformats.org/drawingml/2006/picture">
                <pic:pic>
                  <pic:nvPicPr>
                    <pic:cNvPr descr="capturas/administrador-05-horario-de-atencion-y-excepcione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72"/>
    <w:bookmarkStart w:id="76"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4" name="Picture"/>
            <a:graphic>
              <a:graphicData uri="http://schemas.openxmlformats.org/drawingml/2006/picture">
                <pic:pic>
                  <pic:nvPicPr>
                    <pic:cNvPr descr="capturas/administrador-06-configuracion-de-los-medios-de-pago.jpg" id="75" name="Picture"/>
                    <pic:cNvPicPr>
                      <a:picLocks noChangeArrowheads="1" noChangeAspect="1"/>
                    </pic:cNvPicPr>
                  </pic:nvPicPr>
                  <pic:blipFill>
                    <a:blip r:embed="rId73"/>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6"/>
    <w:bookmarkStart w:id="77"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7"/>
    <w:bookmarkStart w:id="78"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78"/>
    <w:bookmarkEnd w:id="79"/>
    <w:bookmarkStart w:id="100" w:name="Xe8f769c9804e6cd073392a324027605263e5e76"/>
    <w:p>
      <w:pPr>
        <w:pStyle w:val="Heading2"/>
      </w:pPr>
      <w:r>
        <w:t xml:space="preserve">12. Gestión de la Información Principal</w:t>
      </w:r>
    </w:p>
    <w:bookmarkStart w:id="83"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81" name="Picture"/>
            <a:graphic>
              <a:graphicData uri="http://schemas.openxmlformats.org/drawingml/2006/picture">
                <pic:pic>
                  <pic:nvPicPr>
                    <pic:cNvPr descr="capturas/administrador-07-detalle-del-operario-con-disponibilidad-y-ausenc.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4"/>
    <w:bookmarkStart w:id="88"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4"/>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86" name="Picture"/>
            <a:graphic>
              <a:graphicData uri="http://schemas.openxmlformats.org/drawingml/2006/picture">
                <pic:pic>
                  <pic:nvPicPr>
                    <pic:cNvPr descr="capturas/administrador-08-gestion-de-reservas.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Una reserva reprogramada conserva su operario. El administrador asigna a mano en dos casos: cuando la reserva quedó sin operario y cuando necesita cambiar el que se asignó.</w:t>
      </w:r>
    </w:p>
    <w:p>
      <w:pPr>
        <w:pStyle w:val="Compact"/>
        <w:numPr>
          <w:ilvl w:val="0"/>
          <w:numId w:val="1035"/>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5"/>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5"/>
        </w:numPr>
      </w:pPr>
      <w:r>
        <w:t xml:space="preserve">Seleccionar un operario disponible y, si se desea, escribir instrucciones para el operario.</w:t>
      </w:r>
    </w:p>
    <w:p>
      <w:pPr>
        <w:pStyle w:val="Compact"/>
        <w:numPr>
          <w:ilvl w:val="0"/>
          <w:numId w:val="1035"/>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90" name="Picture"/>
            <a:graphic>
              <a:graphicData uri="http://schemas.openxmlformats.org/drawingml/2006/picture">
                <pic:pic>
                  <pic:nvPicPr>
                    <pic:cNvPr descr="capturas/administrador-09-asignacion-manual-de-un-operario.jpg" id="91" name="Picture"/>
                    <pic:cNvPicPr>
                      <a:picLocks noChangeArrowheads="1" noChangeAspect="1"/>
                    </pic:cNvPicPr>
                  </pic:nvPicPr>
                  <pic:blipFill>
                    <a:blip r:embed="rId89"/>
                    <a:stretch>
                      <a:fillRect/>
                    </a:stretch>
                  </pic:blipFill>
                  <pic:spPr bwMode="auto">
                    <a:xfrm>
                      <a:off x="0" y="0"/>
                      <a:ext cx="5334000" cy="6877050"/>
                    </a:xfrm>
                    <a:prstGeom prst="rect">
                      <a:avLst/>
                    </a:prstGeom>
                    <a:noFill/>
                    <a:ln w="9525">
                      <a:noFill/>
                      <a:headEnd/>
                      <a:tailEnd/>
                    </a:ln>
                  </pic:spPr>
                </pic:pic>
              </a:graphicData>
            </a:graphic>
          </wp:inline>
        </w:drawing>
      </w:r>
    </w:p>
    <w:bookmarkEnd w:id="92"/>
    <w:bookmarkStart w:id="93"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6"/>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6"/>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6"/>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6"/>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6"/>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37"/>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37"/>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37"/>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37"/>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3"/>
    <w:bookmarkStart w:id="97"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8"/>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8"/>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8"/>
        </w:numPr>
      </w:pPr>
      <w:r>
        <w:t xml:space="preserve">Verificar que el dinero llegó a la cuenta del lavadero con ese monto y esa referencia.</w:t>
      </w:r>
    </w:p>
    <w:p>
      <w:pPr>
        <w:pStyle w:val="Compact"/>
        <w:numPr>
          <w:ilvl w:val="0"/>
          <w:numId w:val="1038"/>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95" name="Picture"/>
            <a:graphic>
              <a:graphicData uri="http://schemas.openxmlformats.org/drawingml/2006/picture">
                <pic:pic>
                  <pic:nvPicPr>
                    <pic:cNvPr descr="capturas/administrador-10-revision-de-pagos.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7"/>
    <w:bookmarkStart w:id="98"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Al hacer clic en una notificación se abre su detalle y queda leída; los avisos de reservas traen el botón</w:t>
      </w:r>
      <w:r>
        <w:t xml:space="preserve"> </w:t>
      </w:r>
      <w:r>
        <w:rPr>
          <w:b/>
          <w:bCs/>
        </w:rPr>
        <w:t xml:space="preserve">Ir a reservas</w:t>
      </w:r>
      <w:r>
        <w:t xml:space="preserve"> </w:t>
      </w:r>
      <w:r>
        <w:t xml:space="preserve">y el de bienvenida</w:t>
      </w:r>
      <w:r>
        <w:t xml:space="preserve"> </w:t>
      </w:r>
      <w:r>
        <w:rPr>
          <w:b/>
          <w:bCs/>
        </w:rPr>
        <w:t xml:space="preserve">Ir al inicio</w:t>
      </w:r>
      <w:r>
        <w:t xml:space="preserve">.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8"/>
    <w:bookmarkStart w:id="99"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39"/>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39"/>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39"/>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39"/>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9"/>
    <w:bookmarkEnd w:id="100"/>
    <w:bookmarkStart w:id="105"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0"/>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0"/>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40"/>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0"/>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102" name="Picture"/>
            <a:graphic>
              <a:graphicData uri="http://schemas.openxmlformats.org/drawingml/2006/picture">
                <pic:pic>
                  <pic:nvPicPr>
                    <pic:cNvPr descr="capturas/administrador-11-reportes-administrativo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4"/>
    <w:bookmarkEnd w:id="105"/>
    <w:bookmarkStart w:id="11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106"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6"/>
    <w:bookmarkStart w:id="107"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7"/>
    <w:bookmarkStart w:id="111"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1"/>
        </w:numPr>
      </w:pPr>
      <w:r>
        <w:t xml:space="preserve">Verificar que haya espacio libre en disco (un respaldo ocupa, como orden de magnitud, el tamaño de los datos).</w:t>
      </w:r>
    </w:p>
    <w:p>
      <w:pPr>
        <w:pStyle w:val="Compact"/>
        <w:numPr>
          <w:ilvl w:val="0"/>
          <w:numId w:val="1041"/>
        </w:numPr>
      </w:pPr>
      <w:r>
        <w:t xml:space="preserve">Generar el respaldo con suma de comprobación.</w:t>
      </w:r>
    </w:p>
    <w:p>
      <w:pPr>
        <w:pStyle w:val="Compact"/>
        <w:numPr>
          <w:ilvl w:val="0"/>
          <w:numId w:val="1041"/>
        </w:numPr>
      </w:pPr>
      <w:r>
        <w:t xml:space="preserve">Comprobar que el archivo se puede restaurar.</w:t>
      </w:r>
    </w:p>
    <w:p>
      <w:pPr>
        <w:pStyle w:val="Compact"/>
        <w:numPr>
          <w:ilvl w:val="0"/>
          <w:numId w:val="1041"/>
        </w:numPr>
      </w:pPr>
      <w:r>
        <w:t xml:space="preserve">Copiarlo al equipo anfitrión y luego a un almacenamiento seguro.</w:t>
      </w:r>
    </w:p>
    <w:p>
      <w:pPr>
        <w:pStyle w:val="Compact"/>
        <w:numPr>
          <w:ilvl w:val="0"/>
          <w:numId w:val="1041"/>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9" name="Picture"/>
            <a:graphic>
              <a:graphicData uri="http://schemas.openxmlformats.org/drawingml/2006/picture">
                <pic:pic>
                  <pic:nvPicPr>
                    <pic:cNvPr descr="capturas/administrador-12-respaldo-generado-y-verificado.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12"/>
    <w:bookmarkStart w:id="113" w:name="X51868898ecfc11e6d59af341fd59ebdb4b00be4"/>
    <w:p>
      <w:pPr>
        <w:pStyle w:val="Heading3"/>
      </w:pPr>
      <w:r>
        <w:t xml:space="preserve">14.5 Respaldo Antes de los Cambios</w:t>
      </w:r>
    </w:p>
    <w:p>
      <w:pPr>
        <w:pStyle w:val="Compact"/>
        <w:numPr>
          <w:ilvl w:val="0"/>
          <w:numId w:val="1042"/>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2"/>
        </w:numPr>
      </w:pPr>
      <w:r>
        <w:t xml:space="preserve">Antes de cambios masivos de roles, precios, puntos o asignaciones, hacer un respaldo.</w:t>
      </w:r>
    </w:p>
    <w:p>
      <w:pPr>
        <w:pStyle w:val="Compact"/>
        <w:numPr>
          <w:ilvl w:val="0"/>
          <w:numId w:val="1042"/>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3"/>
    <w:bookmarkEnd w:id="114"/>
    <w:bookmarkStart w:id="12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5"/>
    <w:bookmarkStart w:id="116" w:name="Xd0618684eba670373cd7420bd5300c223c0b60e"/>
    <w:p>
      <w:pPr>
        <w:pStyle w:val="Heading3"/>
      </w:pPr>
      <w:r>
        <w:t xml:space="preserve">15.2 Procedimiento de Restauración Completa</w:t>
      </w:r>
    </w:p>
    <w:p>
      <w:pPr>
        <w:pStyle w:val="Compact"/>
        <w:numPr>
          <w:ilvl w:val="0"/>
          <w:numId w:val="1043"/>
        </w:numPr>
      </w:pPr>
      <w:r>
        <w:t xml:space="preserve">Obtener la autorización y anunciar la interrupción a los usuarios.</w:t>
      </w:r>
    </w:p>
    <w:p>
      <w:pPr>
        <w:pStyle w:val="Compact"/>
        <w:numPr>
          <w:ilvl w:val="0"/>
          <w:numId w:val="1043"/>
        </w:numPr>
      </w:pPr>
      <w:r>
        <w:t xml:space="preserve">Elegir el respaldo y comprobar su integridad con RESTORE VERIFYONLY.</w:t>
      </w:r>
    </w:p>
    <w:p>
      <w:pPr>
        <w:pStyle w:val="Compact"/>
        <w:numPr>
          <w:ilvl w:val="0"/>
          <w:numId w:val="1043"/>
        </w:numPr>
      </w:pPr>
      <w:r>
        <w:t xml:space="preserve">Detener los servicios de la aplicación y el gateway para que no escriban durante la restauración; dejar SQL Server en ejecución.</w:t>
      </w:r>
    </w:p>
    <w:p>
      <w:pPr>
        <w:pStyle w:val="Compact"/>
        <w:numPr>
          <w:ilvl w:val="0"/>
          <w:numId w:val="1043"/>
        </w:numPr>
      </w:pPr>
      <w:r>
        <w:t xml:space="preserve">Hacer un respaldo del estado actual, aunque esté dañado, para no perder la evidencia.</w:t>
      </w:r>
    </w:p>
    <w:p>
      <w:pPr>
        <w:pStyle w:val="Compact"/>
        <w:numPr>
          <w:ilvl w:val="0"/>
          <w:numId w:val="1043"/>
        </w:numPr>
      </w:pPr>
      <w:r>
        <w:t xml:space="preserve">Copiar el archivo de respaldo dentro del contenedor y restaurarlo.</w:t>
      </w:r>
    </w:p>
    <w:p>
      <w:pPr>
        <w:pStyle w:val="Compact"/>
        <w:numPr>
          <w:ilvl w:val="0"/>
          <w:numId w:val="1043"/>
        </w:numPr>
      </w:pPr>
      <w:r>
        <w:t xml:space="preserve">Verificar la estructura y los datos (sección 15.3).</w:t>
      </w:r>
    </w:p>
    <w:p>
      <w:pPr>
        <w:pStyle w:val="Compact"/>
        <w:numPr>
          <w:ilvl w:val="0"/>
          <w:numId w:val="1043"/>
        </w:numPr>
      </w:pPr>
      <w:r>
        <w:t xml:space="preserve">Iniciar los servicios y ejecutar las pruebas de verificación del Manual de Instalación.</w:t>
      </w:r>
    </w:p>
    <w:p>
      <w:pPr>
        <w:pStyle w:val="Compact"/>
        <w:numPr>
          <w:ilvl w:val="0"/>
          <w:numId w:val="1043"/>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6"/>
    <w:bookmarkStart w:id="117" w:name="Xc6d13f280ea437be3eeb2f6ba9d718f6dde71ec"/>
    <w:p>
      <w:pPr>
        <w:pStyle w:val="Heading3"/>
      </w:pPr>
      <w:r>
        <w:t xml:space="preserve">15.3 Verificación Posterior a la Restauración</w:t>
      </w:r>
    </w:p>
    <w:p>
      <w:pPr>
        <w:pStyle w:val="Compact"/>
        <w:numPr>
          <w:ilvl w:val="0"/>
          <w:numId w:val="1044"/>
        </w:numPr>
      </w:pPr>
      <w:r>
        <w:t xml:space="preserve">Existen los nueve esquemas y las tablas de catálogo tienen sus filas (consultas del Manual de Instalación, sección 11).</w:t>
      </w:r>
    </w:p>
    <w:p>
      <w:pPr>
        <w:pStyle w:val="Compact"/>
        <w:numPr>
          <w:ilvl w:val="0"/>
          <w:numId w:val="1044"/>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4"/>
        </w:numPr>
      </w:pPr>
      <w:r>
        <w:t xml:space="preserve">La última reserva y la última sesión corresponden a la fecha esperada del respaldo.</w:t>
      </w:r>
    </w:p>
    <w:p>
      <w:pPr>
        <w:pStyle w:val="Compact"/>
        <w:numPr>
          <w:ilvl w:val="0"/>
          <w:numId w:val="1044"/>
        </w:numPr>
      </w:pPr>
      <w:r>
        <w:t xml:space="preserve">Un administrador puede ingresar y un cliente de prueba puede consultar sus reservas y su saldo de puntos.</w:t>
      </w:r>
    </w:p>
    <w:p>
      <w:pPr>
        <w:pStyle w:val="Compact"/>
        <w:numPr>
          <w:ilvl w:val="0"/>
          <w:numId w:val="1044"/>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7"/>
    <w:bookmarkStart w:id="12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19" name="Picture"/>
            <a:graphic>
              <a:graphicData uri="http://schemas.openxmlformats.org/drawingml/2006/picture">
                <pic:pic>
                  <pic:nvPicPr>
                    <pic:cNvPr descr="capturas/administrador-13-verificacion-posterior-a-la-restaurac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d5a17fa436a7164e46dbbe8da6c9a646c29c0df"/>
    <w:p>
      <w:pPr>
        <w:pStyle w:val="Heading2"/>
      </w:pPr>
      <w:r>
        <w:t xml:space="preserve">16. Auditoría e Historial de Acciones</w:t>
      </w:r>
    </w:p>
    <w:bookmarkStart w:id="12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3"/>
    <w:bookmarkStart w:id="12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14ca12c6dbf2efb3be20040dcd258eba13ae9ed"/>
    <w:p>
      <w:pPr>
        <w:pStyle w:val="Heading3"/>
      </w:pPr>
      <w:r>
        <w:t xml:space="preserve">16.3 Revisión Periódica y Retención</w:t>
      </w:r>
    </w:p>
    <w:p>
      <w:pPr>
        <w:pStyle w:val="Compact"/>
        <w:numPr>
          <w:ilvl w:val="0"/>
          <w:numId w:val="1045"/>
        </w:numPr>
      </w:pPr>
      <w:r>
        <w:t xml:space="preserve">Revisar cada semana las cuentas nuevas de administrador, las cuentas desactivadas, las cuentas de pago, los pagos aprobados y los reembolsos.</w:t>
      </w:r>
    </w:p>
    <w:p>
      <w:pPr>
        <w:pStyle w:val="Compact"/>
        <w:numPr>
          <w:ilvl w:val="0"/>
          <w:numId w:val="1045"/>
        </w:numPr>
      </w:pPr>
      <w:r>
        <w:t xml:space="preserve">Investigar de inmediato cualquier cuenta nueva con el rol ADMIN o cualquier cambio de los códigos QR o de las cuentas de pago.</w:t>
      </w:r>
    </w:p>
    <w:p>
      <w:pPr>
        <w:pStyle w:val="Compact"/>
        <w:numPr>
          <w:ilvl w:val="0"/>
          <w:numId w:val="1045"/>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5"/>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6" name="Picture"/>
            <a:graphic>
              <a:graphicData uri="http://schemas.openxmlformats.org/drawingml/2006/picture">
                <pic:pic>
                  <pic:nvPicPr>
                    <pic:cNvPr descr="capturas/administrador-14-consulta-del-historial-de-sesiones.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30" w:name="Xbd95e7b5552ef51e1bec8840c4beed3313a769d"/>
    <w:p>
      <w:pPr>
        <w:pStyle w:val="Heading3"/>
      </w:pPr>
      <w:r>
        <w:t xml:space="preserve">17.1 Cuentas y Contraseñas</w:t>
      </w:r>
    </w:p>
    <w:p>
      <w:pPr>
        <w:pStyle w:val="Compact"/>
        <w:numPr>
          <w:ilvl w:val="0"/>
          <w:numId w:val="1046"/>
        </w:numPr>
      </w:pPr>
      <w:r>
        <w:t xml:space="preserve">No compartir la contraseña de administrador y usar cuentas individuales.</w:t>
      </w:r>
    </w:p>
    <w:p>
      <w:pPr>
        <w:pStyle w:val="Compact"/>
        <w:numPr>
          <w:ilvl w:val="0"/>
          <w:numId w:val="1046"/>
        </w:numPr>
      </w:pPr>
      <w:r>
        <w:t xml:space="preserve">Usar contraseñas largas y únicas guardadas en un gestor de contraseñas. El bloqueo temporal frena los intentos repetidos, pero no reemplaza una contraseña fuerte.</w:t>
      </w:r>
    </w:p>
    <w:p>
      <w:pPr>
        <w:pStyle w:val="Compact"/>
        <w:numPr>
          <w:ilvl w:val="0"/>
          <w:numId w:val="1046"/>
        </w:numPr>
      </w:pPr>
      <w:r>
        <w:t xml:space="preserve">Cambiar de inmediato cualquier contraseña temporal.</w:t>
      </w:r>
    </w:p>
    <w:p>
      <w:pPr>
        <w:pStyle w:val="Compact"/>
        <w:numPr>
          <w:ilvl w:val="0"/>
          <w:numId w:val="1046"/>
        </w:numPr>
      </w:pPr>
      <w:r>
        <w:t xml:space="preserve">Desactivar el mismo día las cuentas de las personas que salen del proceso.</w:t>
      </w:r>
    </w:p>
    <w:p>
      <w:pPr>
        <w:pStyle w:val="Compact"/>
        <w:numPr>
          <w:ilvl w:val="0"/>
          <w:numId w:val="1046"/>
        </w:numPr>
      </w:pPr>
      <w:r>
        <w:t xml:space="preserve">Revisar cada trimestre la lista de administradores: debe ser lo más corta posible.</w:t>
      </w:r>
    </w:p>
    <w:p>
      <w:pPr>
        <w:pStyle w:val="Compact"/>
        <w:numPr>
          <w:ilvl w:val="0"/>
          <w:numId w:val="1046"/>
        </w:numPr>
      </w:pPr>
      <w:r>
        <w:t xml:space="preserve">Cerrar la sesión al terminar y no ingresar desde equipos compartidos.</w:t>
      </w:r>
    </w:p>
    <w:bookmarkEnd w:id="130"/>
    <w:bookmarkStart w:id="13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31"/>
    <w:bookmarkStart w:id="132" w:name="X40b20b85ba97f8b453a9035f612d3bd463ebcfd"/>
    <w:p>
      <w:pPr>
        <w:pStyle w:val="Heading3"/>
      </w:pPr>
      <w:r>
        <w:t xml:space="preserve">17.3 Secretos y Configuración</w:t>
      </w:r>
    </w:p>
    <w:p>
      <w:pPr>
        <w:pStyle w:val="Compact"/>
        <w:numPr>
          <w:ilvl w:val="0"/>
          <w:numId w:val="1047"/>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7"/>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7"/>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7"/>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32"/>
    <w:bookmarkStart w:id="133" w:name="X8caef793e9c2ec5a13052b1f604565c56e8f991"/>
    <w:p>
      <w:pPr>
        <w:pStyle w:val="Heading3"/>
      </w:pPr>
      <w:r>
        <w:t xml:space="preserve">17.4 Red y Exposición</w:t>
      </w:r>
    </w:p>
    <w:p>
      <w:pPr>
        <w:pStyle w:val="Compact"/>
        <w:numPr>
          <w:ilvl w:val="0"/>
          <w:numId w:val="1048"/>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8"/>
        </w:numPr>
      </w:pPr>
      <w:r>
        <w:t xml:space="preserve">Fuera del entorno local, usar HTTPS con TLS 1.2 o superior.</w:t>
      </w:r>
    </w:p>
    <w:p>
      <w:pPr>
        <w:pStyle w:val="Compact"/>
        <w:numPr>
          <w:ilvl w:val="0"/>
          <w:numId w:val="1048"/>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3"/>
    <w:bookmarkStart w:id="13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4"/>
    <w:bookmarkStart w:id="13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6"/>
    <w:bookmarkStart w:id="13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7"/>
    <w:bookmarkEnd w:id="138"/>
    <w:bookmarkStart w:id="13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39"/>
    <w:bookmarkStart w:id="15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4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9">
        <w:r>
          <w:rPr>
            <w:rStyle w:val="Hyperlink"/>
          </w:rPr>
          <w:t xml:space="preserve">https://doi.org/10.6028/NIST.SP.800-34r1</w:t>
        </w:r>
      </w:hyperlink>
    </w:p>
    <w:bookmarkEnd w:id="150"/>
    <w:bookmarkStart w:id="155" w:name="X80b0218b51872906238fd110cf3fb8467fb66bf"/>
    <w:p>
      <w:pPr>
        <w:pStyle w:val="Heading2"/>
      </w:pPr>
      <w:r>
        <w:t xml:space="preserve">19. Anexos</w:t>
      </w:r>
    </w:p>
    <w:bookmarkStart w:id="15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51"/>
    <w:bookmarkStart w:id="15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52"/>
    <w:bookmarkStart w:id="15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3"/>
    <w:bookmarkStart w:id="15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2026-10-20T20:44:20Z</dcterms:created>
  <dcterms:modified xsi:type="dcterms:W3CDTF">2026-10-20T20:44:20Z</dcterms:modified>
</cp:coreProperties>
</file>

<file path=docProps/custom.xml><?xml version="1.0" encoding="utf-8"?>
<Properties xmlns="http://schemas.openxmlformats.org/officeDocument/2006/custom-properties" xmlns:vt="http://schemas.openxmlformats.org/officeDocument/2006/docPropsVTypes"/>
</file>