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2.png" ContentType="image/png"/>
  <Override PartName="/word/media/rId87.png" ContentType="image/png"/>
  <Override PartName="/word/media/rId91.png" ContentType="image/png"/>
  <Override PartName="/word/media/rId38.png" ContentType="image/png"/>
  <Override PartName="/word/media/rId42.png" ContentType="image/png"/>
  <Override PartName="/word/media/rId87.png" ContentType="image/png"/>
  <Override PartName="/word/media/rId91.png" ContentType="image/png"/>
  <Override PartName="/word/media/rId87.svg" ContentType="image/svg+xml"/>
  <Override PartName="/word/media/rId38.svg" ContentType="image/svg+xml"/>
  <Override PartName="/word/media/rId91.svg" ContentType="image/svg+xml"/>
  <Override PartName="/word/media/rId4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t xml:space="preserve">Brayan Estiven Patiño Cabrera, Juan Camilo Guilombo Osorio, Merari Urbano Quintero</w:t>
      </w:r>
      <w:r>
        <w:br/>
      </w:r>
      <w:r>
        <w:rPr>
          <w:i/>
          <w:iCs/>
        </w:rPr>
        <w:t xml:space="preserve">Servicio Nacional de Aprendizaje (SENA), Centro de la Industria, la Empresa y los Servicios, Regional Huila, Colombia</w:t>
      </w:r>
    </w:p>
    <w:p>
      <w:pPr>
        <w:pStyle w:val="BodyText"/>
      </w:pPr>
      <w:r>
        <w:rPr>
          <w:i/>
          <w:iCs/>
        </w:rPr>
        <w:t xml:space="preserve">Tecnólogo en Análisis y Desarrollo de Software (ADSO), ficha 3145556. Instructora: Karol Daniela Correa. 21 de octubre de 2026.</w:t>
      </w:r>
    </w:p>
    <w:p>
      <w:pPr>
        <w:pStyle w:val="BodyText"/>
      </w:pPr>
      <w:r>
        <w:rPr>
          <w:b/>
          <w:bCs/>
          <w:i/>
          <w:iCs/>
        </w:rPr>
        <w:t xml:space="preserve">Resumen</w:t>
      </w:r>
      <w:r>
        <w:rPr>
          <w:b/>
          <w:bCs/>
        </w:rP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21 de octubre de 2026, 40 de los 41 requisitos funcionales estaban implementados y 1 era parcial. Ese día se ejecutaron 707 pruebas automatizadas, todas aprobadas (incluidas 7 de persistencia contra una base aislada), y 19 pruebas de punta a punta contra el sistema completo, también aprobadas; los 42 casos funcionales pasaron el 19 de octubre de 2026.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b/>
          <w:bCs/>
          <w:i/>
          <w:iCs/>
        </w:rPr>
        <w:t xml:space="preserve">Palabras clave</w:t>
      </w:r>
      <w:r>
        <w:rPr>
          <w:b/>
          <w:bCs/>
        </w:rPr>
        <w:t xml:space="preserve">—microservicios, arquitectura hexagonal, sistema de reservas, lavado vehicular, pagos con código QR, documentación de diseño de software</w:t>
      </w:r>
    </w:p>
    <w:bookmarkStart w:id="24" w:name="i-introducción"/>
    <w:p>
      <w:pPr>
        <w:pStyle w:val="Heading2"/>
      </w:pPr>
      <w:r>
        <w:t xml:space="preserve">I. Introducción</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0" w:name="a-planteamiento-del-problema"/>
    <w:p>
      <w:pPr>
        <w:pStyle w:val="Heading3"/>
      </w:pPr>
      <w:r>
        <w:t xml:space="preserve">A. 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[1].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[2].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[2].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0"/>
    <w:bookmarkStart w:id="21" w:name="b-justificación"/>
    <w:p>
      <w:pPr>
        <w:pStyle w:val="Heading3"/>
      </w:pPr>
      <w:r>
        <w:t xml:space="preserve">B. 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[2].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[3],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1"/>
    <w:bookmarkStart w:id="22" w:name="c-objetivos"/>
    <w:p>
      <w:pPr>
        <w:pStyle w:val="Heading3"/>
      </w:pPr>
      <w:r>
        <w:t xml:space="preserve">C. Objetivos</w:t>
      </w:r>
    </w:p>
    <w:p>
      <w:pPr>
        <w:pStyle w:val="FirstParagraph"/>
      </w:pPr>
      <w:r>
        <w:t xml:space="preserve">Los objetivos vigentes del proyecto están en la versión 7.7 de la SRS [1].</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2"/>
    <w:bookmarkStart w:id="23" w:name="d-evolución-del-alcance"/>
    <w:p>
      <w:pPr>
        <w:pStyle w:val="Heading3"/>
      </w:pPr>
      <w:r>
        <w:t xml:space="preserve">D. 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[4].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[1].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3"/>
    <w:bookmarkEnd w:id="24"/>
    <w:bookmarkStart w:id="30" w:name="ii-marco-conceptual"/>
    <w:p>
      <w:pPr>
        <w:pStyle w:val="Heading2"/>
      </w:pPr>
      <w:r>
        <w:t xml:space="preserve">II. 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5" w:name="Xedb14d2cb140a259f1c16a098dc0b2afb63edc8"/>
    <w:p>
      <w:pPr>
        <w:pStyle w:val="Heading3"/>
      </w:pPr>
      <w:r>
        <w:t xml:space="preserve">A. 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[5]. Este estilo facilita que cada parte evolucione por separado, pero introduce problemas propios de los sistemas distribuidos, como la consistencia entre servicios y la publicación confiable de eventos, para los que existen patrones como Saga y Outbox [6]. Elegir qué patrones adoptar, y documentar por qué se descartan otros, es parte del diseño.</w:t>
      </w:r>
    </w:p>
    <w:bookmarkEnd w:id="25"/>
    <w:bookmarkStart w:id="26" w:name="Xc3e7aa7bdca69417fc7b7bb95b836cf76634a68"/>
    <w:p>
      <w:pPr>
        <w:pStyle w:val="Heading3"/>
      </w:pPr>
      <w:r>
        <w:t xml:space="preserve">B. 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[7]. La arquitectura hexagonal, o de puertos y adaptadores, complementa esa idea: el núcleo de la aplicación no depende de la base de datos, del framework ni de la mensajería, que se conectan mediante adaptadores [8]. La combinación permite probar las reglas del negocio sin infraestructura.</w:t>
      </w:r>
    </w:p>
    <w:bookmarkEnd w:id="26"/>
    <w:bookmarkStart w:id="27" w:name="c-integración-síncrona-y-asíncrona"/>
    <w:p>
      <w:pPr>
        <w:pStyle w:val="Heading3"/>
      </w:pPr>
      <w:r>
        <w:t xml:space="preserve">C. Integración Síncrona y Asíncrona</w:t>
      </w:r>
    </w:p>
    <w:p>
      <w:pPr>
        <w:pStyle w:val="FirstParagraph"/>
      </w:pPr>
      <w:r>
        <w:t xml:space="preserve">Las interfaces externas del sistema siguen el estilo arquitectónico REST [9], y sus errores se expresan con el formato estándar</w:t>
      </w:r>
      <w:r>
        <w:t xml:space="preserve"> </w:t>
      </w:r>
      <w:r>
        <w:rPr>
          <w:i/>
          <w:iCs/>
        </w:rPr>
        <w:t xml:space="preserve">Problem Details for HTTP APIs</w:t>
      </w:r>
      <w:r>
        <w:t xml:space="preserve"> </w:t>
      </w:r>
      <w:r>
        <w:t xml:space="preserve">[10]. Para el trabajo que puede ocurrir después de una transacción, como enviar una notificación, se usa mensajería de publicación y suscripción, en la que un emisor publica un evento sin conocer a sus consumidores [11].</w:t>
      </w:r>
    </w:p>
    <w:bookmarkEnd w:id="27"/>
    <w:bookmarkStart w:id="28" w:name="d-seguridad-de-la-aplicación"/>
    <w:p>
      <w:pPr>
        <w:pStyle w:val="Heading3"/>
      </w:pPr>
      <w:r>
        <w:t xml:space="preserve">D. Seguridad de la Aplicación</w:t>
      </w:r>
    </w:p>
    <w:p>
      <w:pPr>
        <w:pStyle w:val="FirstParagraph"/>
      </w:pPr>
      <w:r>
        <w:t xml:space="preserve">La autenticación sin estado se apoya en JSON Web Tokens (JWT), tokens firmados que transportan la identidad y los roles de la persona usuaria [12]. Las contraseñas se almacenan con BCrypt, una función de derivación con costo ajustable [13]. La lista OWASP Top 10 sirve como referencia para revisar los riesgos más comunes de las aplicaciones web [14].</w:t>
      </w:r>
    </w:p>
    <w:bookmarkEnd w:id="28"/>
    <w:bookmarkStart w:id="29" w:name="e-gestión-de-la-calidad-del-software"/>
    <w:p>
      <w:pPr>
        <w:pStyle w:val="Heading3"/>
      </w:pPr>
      <w:r>
        <w:t xml:space="preserve">E. Gestión de la Calidad del Software</w:t>
      </w:r>
    </w:p>
    <w:p>
      <w:pPr>
        <w:pStyle w:val="FirstParagraph"/>
      </w:pPr>
      <w:r>
        <w:t xml:space="preserve">El proyecto toma como marco de sus acciones correctivas, preventivas y de mejora los procesos de mantenimiento y aseguramiento de la calidad de la ISO/IEC/IEEE 12207 [15], los tipos de mantenimiento de la ISO/IEC/IEEE 14764 [16] y la mejora continua de la ISO 9001 [17].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[18], y las pruebas se escriben siguiendo el desarrollo guiado por pruebas [19]. La investigación sobre desempeño en la entrega de software asocia la integración continua y la automatización de pruebas con mejores resultados de entrega [20].</w:t>
      </w:r>
    </w:p>
    <w:bookmarkEnd w:id="29"/>
    <w:bookmarkEnd w:id="30"/>
    <w:bookmarkStart w:id="37" w:name="iii-método"/>
    <w:p>
      <w:pPr>
        <w:pStyle w:val="Heading2"/>
      </w:pPr>
      <w:r>
        <w:t xml:space="preserve">III. Método</w:t>
      </w:r>
    </w:p>
    <w:bookmarkStart w:id="31" w:name="a-tipo-de-estudio"/>
    <w:p>
      <w:pPr>
        <w:pStyle w:val="Heading3"/>
      </w:pPr>
      <w:r>
        <w:t xml:space="preserve">A. 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[21], [22]. La SRS, en su versión 7.7, sigue la estructura de IEEE 830 [23] y los contenidos de ISO/IEC/IEEE 29148 [24], y define 41 requisitos funcionales, 12 requisitos no funcionales clasificados según el modelo de calidad de ISO/IEC 25010 [25], 32 casos de uso y una matriz de trazabilidad con el estado de cada requisito [1].</w:t>
      </w:r>
    </w:p>
    <w:bookmarkEnd w:id="31"/>
    <w:bookmarkStart w:id="32" w:name="b-contexto-y-participantes"/>
    <w:p>
      <w:pPr>
        <w:pStyle w:val="Heading3"/>
      </w:pPr>
      <w:r>
        <w:t xml:space="preserve">B. 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[2].</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[2] (véase el Apéndice).</w:t>
      </w:r>
    </w:p>
    <w:bookmarkEnd w:id="32"/>
    <w:bookmarkStart w:id="33" w:name="c-proceso-de-desarrollo"/>
    <w:p>
      <w:pPr>
        <w:pStyle w:val="Heading3"/>
      </w:pPr>
      <w:r>
        <w:t xml:space="preserve">C. 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[2].</w:t>
      </w:r>
    </w:p>
    <w:p>
      <w:pPr>
        <w:pStyle w:val="BodyText"/>
      </w:pPr>
      <w:r>
        <w:t xml:space="preserve">La gestión del trabajo adaptó prácticas de Scrum [26] al calendario académico. La instructora técnica actuó como</w:t>
      </w:r>
      <w:r>
        <w:t xml:space="preserve"> </w:t>
      </w:r>
      <w:r>
        <w:rPr>
          <w:i/>
          <w:iCs/>
        </w:rPr>
        <w:t xml:space="preserve">Product Owner</w:t>
      </w:r>
      <w:r>
        <w:t xml:space="preserve"> </w:t>
      </w:r>
      <w:r>
        <w:t xml:space="preserve">y aprobó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[27].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3"/>
    <w:bookmarkStart w:id="34" w:name="Xc6feb21c9fb2f2d8888f0f741365a694a9af6b4"/>
    <w:p>
      <w:pPr>
        <w:pStyle w:val="Heading3"/>
      </w:pPr>
      <w:r>
        <w:t xml:space="preserve">D. 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[22].</w:t>
      </w:r>
    </w:p>
    <w:p>
      <w:pPr>
        <w:pStyle w:val="Compact"/>
        <w:numPr>
          <w:ilvl w:val="0"/>
          <w:numId w:val="1002"/>
        </w:numPr>
      </w:pPr>
      <w:r>
        <w:t xml:space="preserve">Un registro de acciones correctivas, preventivas y de mejoramiento con análisis de causa raíz e indicadores de seguimiento [21].</w:t>
      </w:r>
    </w:p>
    <w:p>
      <w:pPr>
        <w:pStyle w:val="Compact"/>
        <w:numPr>
          <w:ilvl w:val="0"/>
          <w:numId w:val="1002"/>
        </w:numPr>
      </w:pPr>
      <w:r>
        <w:t xml:space="preserve">Una lista de casos de prueba de aceptación (CA-01 a CA-16) definida en el procedimiento de implementación [28].</w:t>
      </w:r>
    </w:p>
    <w:bookmarkEnd w:id="34"/>
    <w:bookmarkStart w:id="35" w:name="e-herramientas"/>
    <w:p>
      <w:pPr>
        <w:pStyle w:val="Heading3"/>
      </w:pPr>
      <w:r>
        <w:t xml:space="preserve">E. Herramientas</w:t>
      </w:r>
    </w:p>
    <w:p>
      <w:pPr>
        <w:pStyle w:val="FirstParagraph"/>
      </w:pPr>
      <w:r>
        <w:t xml:space="preserve">La Tabla I resume la pila tecnológica, tomada de los archivos de construcción de cada repositorio.</w:t>
      </w:r>
    </w:p>
    <w:p>
      <w:pPr>
        <w:pStyle w:val="BodyText"/>
      </w:pPr>
      <w:r>
        <w:rPr>
          <w:b/>
          <w:bCs/>
        </w:rPr>
        <w:t xml:space="preserve">TABLA I</w:t>
      </w:r>
      <w:r>
        <w:br/>
      </w:r>
      <w:r>
        <w:rPr>
          <w:i/>
          <w:iCs/>
        </w:rP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[22]. La integración continua se hace con GitHub Actions en los 10 repositorios.</w:t>
      </w:r>
    </w:p>
    <w:bookmarkEnd w:id="35"/>
    <w:bookmarkStart w:id="36" w:name="f-procedimiento-de-análisis"/>
    <w:p>
      <w:pPr>
        <w:pStyle w:val="Heading3"/>
      </w:pPr>
      <w:r>
        <w:t xml:space="preserve">F. Procedimiento de Análisis</w:t>
      </w:r>
    </w:p>
    <w:p>
      <w:pPr>
        <w:pStyle w:val="FirstParagraph"/>
      </w:pPr>
      <w:r>
        <w:t xml:space="preserve">El estado de los requisitos se tomó de la matriz de trazabilidad de la SRS, verificada contra el código el 21 de octubre de 2026 [1]. Las pruebas se volvieron a ejecutar el 21 de octubre de 2026: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contra el sistema completo; los 42 casos funcionales se ejecutaron el 19 de octubre de 2026.</w:t>
      </w:r>
    </w:p>
    <w:bookmarkEnd w:id="36"/>
    <w:bookmarkEnd w:id="37"/>
    <w:bookmarkStart w:id="52" w:name="iv-resultados"/>
    <w:p>
      <w:pPr>
        <w:pStyle w:val="Heading2"/>
      </w:pPr>
      <w:r>
        <w:t xml:space="preserve">IV. Resultados</w:t>
      </w:r>
    </w:p>
    <w:bookmarkStart w:id="41" w:name="a-arquitectura-implementada"/>
    <w:p>
      <w:pPr>
        <w:pStyle w:val="Heading3"/>
      </w:pPr>
      <w:r>
        <w:t xml:space="preserve">A. Arquitectura Implementada</w:t>
      </w:r>
    </w:p>
    <w:p>
      <w:pPr>
        <w:pStyle w:val="FirstParagraph"/>
      </w:pPr>
      <w:r>
        <w:t xml:space="preserve">El backend quedó compuesto por seis microservicios de dominio detrás de un API Gateway (Fig. 1). Los clientes web y móvil llaman solo al gateway, que enruta las rutas</w:t>
      </w:r>
      <w:r>
        <w:t xml:space="preserve"> </w:t>
      </w:r>
      <w:r>
        <w:rPr>
          <w:i/>
          <w:iCs/>
        </w:rPr>
        <w:t xml:space="preserve">/api/v1/*</w:t>
      </w:r>
      <w:r>
        <w:t xml:space="preserve"> </w:t>
      </w:r>
      <w:r>
        <w:t xml:space="preserve">hacia el servicio dueño y no verifica la firma de los tokens: cada servicio verifica el JWT por sí mismo. Desde el 21 de octubre de 2026 el gateway sí confirma con security-service que la sesión del token siga abierta, de modo que un token deja de servir cuando se cierra la sesión. Los cinco servicios Java siguen la arquitectura hexagonal (dominio, aplicación e infraestructura, con un dominio que no importa Spring ni JPA), y el servicio de pagos sigue una arquitectura por capas en .NET con el mismo contrato de seguridad y de errores [22].</w:t>
      </w:r>
    </w:p>
    <w:p>
      <w:pPr>
        <w:pStyle w:val="BodyText"/>
      </w:pPr>
      <w:r>
        <w:drawing>
          <wp:inline>
            <wp:extent cx="5334000" cy="8152534"/>
            <wp:effectExtent b="0" l="0" r="0" t="0"/>
            <wp:docPr descr="" title="" id="39" name="Picture"/>
            <a:graphic>
              <a:graphicData uri="http://schemas.openxmlformats.org/drawingml/2006/picture">
                <pic:pic>
                  <pic:nvPicPr>
                    <pic:cNvPr descr="diagrama-1.png" id="40" name="Picture"/>
                    <pic:cNvPicPr>
                      <a:picLocks noChangeArrowheads="1" noChangeAspect="1"/>
                    </pic:cNvPicPr>
                  </pic:nvPicPr>
                  <pic:blipFill>
                    <a:blip r:embed="rId38"/>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Diagrama de Contenedores del Sistema</w:t>
      </w:r>
    </w:p>
    <w:p>
      <w:pPr>
        <w:pStyle w:val="BodyText"/>
      </w:pPr>
      <w:r>
        <w:rPr>
          <w:i/>
          <w:iCs/>
        </w:rPr>
        <w:t xml:space="preserve">Nota.</w:t>
      </w:r>
      <w:r>
        <w:t xml:space="preserve"> </w:t>
      </w:r>
      <w:r>
        <w:t xml:space="preserve">Adaptado del manual técnico [22],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II muestra la distribución resultante.</w:t>
      </w:r>
    </w:p>
    <w:p>
      <w:pPr>
        <w:pStyle w:val="BodyText"/>
      </w:pPr>
      <w:r>
        <w:rPr>
          <w:b/>
          <w:bCs/>
        </w:rPr>
        <w:t xml:space="preserve">TABLA II</w:t>
      </w:r>
      <w:r>
        <w:br/>
      </w:r>
      <w:r>
        <w:rPr>
          <w:i/>
          <w:iCs/>
        </w:rP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[22].</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doce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[22].</w:t>
      </w:r>
    </w:p>
    <w:bookmarkEnd w:id="41"/>
    <w:bookmarkStart w:id="45" w:name="X9f7f98e13bd7061ed70cb283493d71942e45e65"/>
    <w:p>
      <w:pPr>
        <w:pStyle w:val="Heading3"/>
      </w:pPr>
      <w:r>
        <w:t xml:space="preserve">B. Reglas del Negocio e Integridad de los Datos</w:t>
      </w:r>
    </w:p>
    <w:p>
      <w:pPr>
        <w:pStyle w:val="FirstParagraph"/>
      </w:pPr>
      <w:r>
        <w:t xml:space="preserve">Las reglas más críticas no dependen solo del código de la aplicación, sino que se garantizan también en la base de datos (Tabla III).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III</w:t>
      </w:r>
      <w:r>
        <w:br/>
      </w:r>
      <w:r>
        <w:rPr>
          <w:i/>
          <w:iCs/>
        </w:rP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[22].</w:t>
      </w:r>
    </w:p>
    <w:p>
      <w:pPr>
        <w:pStyle w:val="BodyText"/>
      </w:pPr>
      <w:r>
        <w:t xml:space="preserve">La reserva, la asignación y el pago tienen ciclos de vida independientes, de modo que una reserva confirmada no hace parecer aprobado un pago pendiente. La Fig. 2 muestra el ciclo de vida de la reserva; el pago recorre los estados PENDING, IN_REVIEW, APPROVED o REJECTED, y un pago aprobado puede pasar a REFUNDED.</w:t>
      </w:r>
    </w:p>
    <w:p>
      <w:pPr>
        <w:pStyle w:val="BodyText"/>
      </w:pPr>
      <w:r>
        <w:drawing>
          <wp:inline>
            <wp:extent cx="5334000" cy="974173"/>
            <wp:effectExtent b="0" l="0" r="0" t="0"/>
            <wp:docPr descr="" title="" id="43" name="Picture"/>
            <a:graphic>
              <a:graphicData uri="http://schemas.openxmlformats.org/drawingml/2006/picture">
                <pic:pic>
                  <pic:nvPicPr>
                    <pic:cNvPr descr="diagrama-2.png" id="44" name="Picture"/>
                    <pic:cNvPicPr>
                      <a:picLocks noChangeArrowheads="1" noChangeAspect="1"/>
                    </pic:cNvPicPr>
                  </pic:nvPicPr>
                  <pic:blipFill>
                    <a:blip r:embed="rId42"/>
                    <a:stretch>
                      <a:fillRect/>
                    </a:stretch>
                  </pic:blipFill>
                  <pic:spPr bwMode="auto">
                    <a:xfrm>
                      <a:off x="0" y="0"/>
                      <a:ext cx="5334000" cy="97417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Diagrama de Estados de la Reserva</w:t>
      </w:r>
    </w:p>
    <w:p>
      <w:pPr>
        <w:pStyle w:val="BodyText"/>
      </w:pPr>
      <w:r>
        <w:rPr>
          <w:i/>
          <w:iCs/>
        </w:rPr>
        <w:t xml:space="preserve">Nota.</w:t>
      </w:r>
      <w:r>
        <w:t xml:space="preserve"> </w:t>
      </w:r>
      <w:r>
        <w:t xml:space="preserve">Los estados en gris son finales.</w:t>
      </w:r>
      <w:r>
        <w:t xml:space="preserve"> </w:t>
      </w:r>
      <w:r>
        <w:rPr>
          <w:i/>
          <w:iCs/>
        </w:rPr>
        <w:t xml:space="preserve">Vencida</w:t>
      </w:r>
      <w:r>
        <w:t xml:space="preserve">: el sistema cancela la reserva programada que nadie confirmó una hora después de su hora de fin;</w:t>
      </w:r>
      <w:r>
        <w:t xml:space="preserve"> </w:t>
      </w:r>
      <w:r>
        <w:rPr>
          <w:i/>
          <w:iCs/>
        </w:rPr>
        <w:t xml:space="preserve">terminó sin operario</w:t>
      </w:r>
      <w:r>
        <w:t xml:space="preserve">: en el mismo plazo, la confirmada que nunca tuvo operario pasa a NO_SHOW. La confirmada con operario que nadie registró la cierra el administrador. Tomado del manual técnico [22], con las etiquetas traducidas.</w:t>
      </w:r>
    </w:p>
    <w:bookmarkEnd w:id="45"/>
    <w:bookmarkStart w:id="46" w:name="Xbf90f9ede9535803f14e3051ad346f686ff0390"/>
    <w:p>
      <w:pPr>
        <w:pStyle w:val="Heading3"/>
      </w:pPr>
      <w:r>
        <w:t xml:space="preserve">C. 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IV resume su estado al 21 de octubre de 2026: 40 implementados (98 %) y 1 parcial.</w:t>
      </w:r>
    </w:p>
    <w:p>
      <w:pPr>
        <w:pStyle w:val="BodyText"/>
      </w:pPr>
      <w:r>
        <w:rPr>
          <w:b/>
          <w:bCs/>
        </w:rPr>
        <w:t xml:space="preserve">TABLA IV</w:t>
      </w:r>
      <w:r>
        <w:br/>
      </w:r>
      <w:r>
        <w:rPr>
          <w:i/>
          <w:iCs/>
        </w:rPr>
        <w:t xml:space="preserve">Estado de los Requisitos Funcionales al 21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7.7 [1].</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[1].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(las reservas y las asignaciones ya se hacen una a la vez con candados de la base de datos, pero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6"/>
    <w:bookmarkStart w:id="47" w:name="d-resultados-de-las-pruebas"/>
    <w:p>
      <w:pPr>
        <w:pStyle w:val="Heading3"/>
      </w:pPr>
      <w:r>
        <w:t xml:space="preserve">D. Resultados de las Pruebas</w:t>
      </w:r>
    </w:p>
    <w:p>
      <w:pPr>
        <w:pStyle w:val="FirstParagraph"/>
      </w:pPr>
      <w:r>
        <w:t xml:space="preserve">En la noche del 21 de octubre de 2026 se ejecutaron todas las suites automatizadas: 707 pruebas aprobadas, ninguna fallida ni omitida; las 7 pruebas de persistencia de payment-service corrieron contra una base de pruebas aislada (Tabla V). Ese mismo día pasaron las 19 pruebas de punta a punta de</w:t>
      </w:r>
      <w:r>
        <w:t xml:space="preserve"> </w:t>
      </w:r>
      <w:r>
        <w:rPr>
          <w:i/>
          <w:iCs/>
        </w:rPr>
        <w:t xml:space="preserve">lavarapido-infra/e2e</w:t>
      </w:r>
      <w:r>
        <w:t xml:space="preserve">, que recorren el sistema completo: reserva con elección de operario y asignación automática, flujo de los tres roles con pago, aprobación, puntos, ejecución y calificación, informe de inspección con fotos y enlace público, y reglas de acceso por rol, ya con el chequeo de sesión del gateway activo. La SRS registraba 347 pruebas el 6 de octubre [1]; la diferencia corresponde a las pruebas que se agregaron con cada función nueva.</w:t>
      </w:r>
    </w:p>
    <w:p>
      <w:pPr>
        <w:pStyle w:val="BodyText"/>
      </w:pPr>
      <w:r>
        <w:rPr>
          <w:b/>
          <w:bCs/>
        </w:rPr>
        <w:t xml:space="preserve">TABLA V</w:t>
      </w:r>
      <w:r>
        <w:br/>
      </w:r>
      <w:r>
        <w:rPr>
          <w:i/>
          <w:iCs/>
        </w:rPr>
        <w:t xml:space="preserve">Resultados de la Ejecución de las Pruebas Automatizadas (21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155</w:t>
            </w:r>
          </w:p>
        </w:tc>
        <w:tc>
          <w:tcPr/>
          <w:p>
            <w:pPr>
              <w:pStyle w:val="Compact"/>
            </w:pPr>
            <w:r>
              <w:t xml:space="preserve">155</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50</w:t>
            </w:r>
          </w:p>
        </w:tc>
        <w:tc>
          <w:tcPr/>
          <w:p>
            <w:pPr>
              <w:pStyle w:val="Compact"/>
            </w:pPr>
            <w:r>
              <w:t xml:space="preserve">50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67</w:t>
            </w:r>
          </w:p>
        </w:tc>
        <w:tc>
          <w:tcPr/>
          <w:p>
            <w:pPr>
              <w:pStyle w:val="Compact"/>
            </w:pPr>
            <w:r>
              <w:t xml:space="preserve">67</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114</w:t>
            </w:r>
          </w:p>
        </w:tc>
        <w:tc>
          <w:tcPr/>
          <w:p>
            <w:pPr>
              <w:pStyle w:val="Compact"/>
            </w:pPr>
            <w:r>
              <w:t xml:space="preserve">114</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150</w:t>
            </w:r>
          </w:p>
        </w:tc>
        <w:tc>
          <w:tcPr/>
          <w:p>
            <w:pPr>
              <w:pStyle w:val="Compact"/>
            </w:pPr>
            <w:r>
              <w:t xml:space="preserve">150</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707</w:t>
            </w:r>
          </w:p>
        </w:tc>
        <w:tc>
          <w:tcPr/>
          <w:p>
            <w:pPr>
              <w:pStyle w:val="Compact"/>
            </w:pPr>
            <w:r>
              <w:rPr>
                <w:b/>
                <w:bCs/>
              </w:rPr>
              <w:t xml:space="preserve">707</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42 casos funcionales de la documentación de pruebas se ejecutaron el 19 de octubre de 2026 contra el sistema completo, todos aprobados.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7"/>
    <w:bookmarkStart w:id="48" w:name="e-seguridad"/>
    <w:p>
      <w:pPr>
        <w:pStyle w:val="Heading3"/>
      </w:pPr>
      <w:r>
        <w:t xml:space="preserve">E. Seguridad</w:t>
      </w:r>
    </w:p>
    <w:p>
      <w:pPr>
        <w:pStyle w:val="FirstParagraph"/>
      </w:pPr>
      <w:r>
        <w:t xml:space="preserve">La Tabla VI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VI</w:t>
      </w:r>
      <w:r>
        <w:br/>
      </w:r>
      <w:r>
        <w:rPr>
          <w:i/>
          <w:iCs/>
        </w:rP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[14], [22].</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[3]. La opción del perfil que se llamaba "Eliminar cuenta" pasó a llamarse "Desactivar mi cuenta", porque la cuenta se desactiva y su historial se conserva.</w:t>
      </w:r>
    </w:p>
    <w:bookmarkEnd w:id="48"/>
    <w:bookmarkStart w:id="49" w:name="f-gestión-de-defectos-y-mejora-continua"/>
    <w:p>
      <w:pPr>
        <w:pStyle w:val="Heading3"/>
      </w:pPr>
      <w:r>
        <w:t xml:space="preserve">F. Gestión de Defectos y Mejora Continua</w:t>
      </w:r>
    </w:p>
    <w:p>
      <w:pPr>
        <w:pStyle w:val="FirstParagraph"/>
      </w:pPr>
      <w:r>
        <w:t xml:space="preserve">Al 21 de octubre de 2026, el registro de acciones contenía 52 acciones correctivas cerradas, 3 correctivas abiertas, 18 preventivas y 16 de mejoramiento, de las cuales 8 ya están cerradas [21]. El indicador de cierre de correctivas subió de 64 % el 9 de octubre a 95 % (52 de 55),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dos solicitudes simultáneas que intentaban crear el mismo operario (AC-35) y un token que seguía sirviendo hasta una hora después de cerrar sesión (AC-44).</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[22]. La revisión del 16 de octubre de 2026 cerró las que seguían abiertas y llevó los manuales a la versión 4.0, con capturas reales del sistema.</w:t>
      </w:r>
    </w:p>
    <w:bookmarkEnd w:id="49"/>
    <w:bookmarkStart w:id="50" w:name="g-costos"/>
    <w:p>
      <w:pPr>
        <w:pStyle w:val="Heading3"/>
      </w:pPr>
      <w:r>
        <w:t xml:space="preserve">G. 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[4], distribuidos como muestra la Tabla VII. El 79 % del costo corresponde al recurso humano.</w:t>
      </w:r>
    </w:p>
    <w:p>
      <w:pPr>
        <w:pStyle w:val="BodyText"/>
      </w:pPr>
      <w:r>
        <w:rPr>
          <w:b/>
          <w:bCs/>
        </w:rPr>
        <w:t xml:space="preserve">TABLA VII</w:t>
      </w:r>
      <w:r>
        <w:br/>
      </w:r>
      <w:r>
        <w:rPr>
          <w:i/>
          <w:iCs/>
        </w:rP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[4]. La propuesta se calculó sobre la pila tecnológica inicial (Windows 10 Pro, MySQL y arquitectura en capas), anterior al cambio a microservicios y SQL Server.</w:t>
      </w:r>
    </w:p>
    <w:bookmarkEnd w:id="50"/>
    <w:bookmarkStart w:id="51" w:name="h-resultados-con-personas-usuarias"/>
    <w:p>
      <w:pPr>
        <w:pStyle w:val="Heading3"/>
      </w:pPr>
      <w:r>
        <w:t xml:space="preserve">H. 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[28], y el proyecto definió las medidas de éxito que se deben capturar como línea base: flujos de reserva completados, conflictos de reserva, servicios con estado final, pagos conciliados con reservas, calificaciones y notificaciones leídas [2]. El plan de actividades también incluía la validación de requisitos con el cliente y pruebas finales con el cliente en el último sprint [27], pero en los documentos revisados no hay registros de sus resultados.</w:t>
      </w:r>
    </w:p>
    <w:bookmarkEnd w:id="51"/>
    <w:bookmarkEnd w:id="52"/>
    <w:bookmarkStart w:id="54" w:name="v-discusión"/>
    <w:p>
      <w:pPr>
        <w:pStyle w:val="Heading2"/>
      </w:pPr>
      <w:r>
        <w:t xml:space="preserve">V. 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[5]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[6].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[4].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Con el mismo criterio, desde el 21 de octubre de 2026 la asignación manual y la automática de un operario se hacen una a la vez con un candado de SQL Server. La revisión del equipo encontró además un riesgo en la primera versión del cierre automático de reservas, del mismo día: marcaba como No asistió toda reserva confirmada que nadie iniciaba, de modo que un servicio atendido pero no registrado habría quedado como ausencia del cliente en el historial y en los reportes. El diseño se cambió para que el sistema decida solo cuando está seguro (la reserva que nunca tuvo operario) y deje las demás al administrador en una lista de reservas por cerrar.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[8] se refleja en la forma de las pruebas: 700 de las 707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[21]. Los ADR [18] permitieron que los cambios de alcance, como la asignación manual de operarios, quedaran justificados en lugar de aparecer como incumplimientos silenciosos.</w:t>
      </w:r>
    </w:p>
    <w:bookmarkStart w:id="53" w:name="a-limitaciones"/>
    <w:p>
      <w:pPr>
        <w:pStyle w:val="Heading3"/>
      </w:pPr>
      <w:r>
        <w:t xml:space="preserve">A. 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desde el 21 de octubre de 2026 la base se respalda y se verifica todos los días, pero las copias quedan en el mismo disco.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[1]. Sexta, el caso es único y de pequeña escala, por lo que sus conclusiones no se pueden generalizar a otros negocios.</w:t>
      </w:r>
    </w:p>
    <w:bookmarkEnd w:id="53"/>
    <w:bookmarkEnd w:id="54"/>
    <w:bookmarkStart w:id="55" w:name="vi-conclusiones"/>
    <w:p>
      <w:pPr>
        <w:pStyle w:val="Heading2"/>
      </w:pPr>
      <w:r>
        <w:t xml:space="preserve">VI. 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707 pruebas automatizadas, 19 pruebas de punta a punta y 42 casos funcionales aprobados sin fallos, y el sistema desplegado en un servidor público con HTTPS. Las reglas críticas del negocio se garantizan en la base de datos, lo que protege el sistema frente a la concurrencia en reservas, asignaciones,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[22].</w:t>
      </w:r>
    </w:p>
    <w:bookmarkEnd w:id="55"/>
    <w:bookmarkStart w:id="65" w:name="referencias"/>
    <w:p>
      <w:pPr>
        <w:pStyle w:val="Heading2"/>
      </w:pPr>
      <w:r>
        <w:t xml:space="preserve">Referencias</w:t>
      </w:r>
    </w:p>
    <w:p>
      <w:pPr>
        <w:pStyle w:val="FirstParagraph"/>
      </w:pPr>
      <w:r>
        <w:t xml:space="preserve">[1] J. C. Guilombo Osorio, B. E. Patiño Cabrera y M. Urbano Quintero, «Especificación de requisitos de software (SRS) del sistema LavaRápido: Plataforma web y móvil de reservas y gestión para un lavadero de vehículos», versión 7.7, documento no publicado, Servicio Nacional de Aprendizaje, 2026.</w:t>
      </w:r>
    </w:p>
    <w:p>
      <w:pPr>
        <w:pStyle w:val="BodyText"/>
      </w:pPr>
      <w:r>
        <w:t xml:space="preserve">[2] Equipo de Desarrollo Vehicle Washing,</w:t>
      </w:r>
      <w:r>
        <w:t xml:space="preserve"> </w:t>
      </w:r>
      <w:r>
        <w:rPr>
          <w:i/>
          <w:iCs/>
        </w:rPr>
        <w:t xml:space="preserve">Vehicle Washing Management System: Project Documentation</w:t>
      </w:r>
      <w:r>
        <w:t xml:space="preserve"> </w:t>
      </w:r>
      <w:r>
        <w:t xml:space="preserve">(vehicle-w-docs), documentación de proyecto no publicada, 2026. [En línea]. Disponible en:</w:t>
      </w:r>
      <w:r>
        <w:t xml:space="preserve"> </w:t>
      </w:r>
      <w:hyperlink r:id="rId56">
        <w:r>
          <w:rPr>
            <w:rStyle w:val="Hyperlink"/>
          </w:rPr>
          <w:t xml:space="preserve">https://github.com/code-sena/vehicle-w-docs</w:t>
        </w:r>
      </w:hyperlink>
    </w:p>
    <w:p>
      <w:pPr>
        <w:pStyle w:val="BodyText"/>
      </w:pPr>
      <w:r>
        <w:t xml:space="preserve">[3] Congreso de la República de Colombia,</w:t>
      </w:r>
      <w:r>
        <w:t xml:space="preserve"> </w:t>
      </w:r>
      <w:r>
        <w:rPr>
          <w:i/>
          <w:iCs/>
        </w:rPr>
        <w:t xml:space="preserve">Ley Estatutaria 1581 de 2012, por la cual se dictan disposiciones generales para la protección de datos personales</w:t>
      </w:r>
      <w:r>
        <w:t xml:space="preserve">, 2012. [En línea]. Disponible en:</w:t>
      </w:r>
      <w:r>
        <w:t xml:space="preserve"> </w:t>
      </w:r>
      <w:hyperlink r:id="rId57">
        <w:r>
          <w:rPr>
            <w:rStyle w:val="Hyperlink"/>
          </w:rPr>
          <w:t xml:space="preserve">http://www.secretariasenado.gov.co/senado/basedoc/ley_1581_2012.html</w:t>
        </w:r>
      </w:hyperlink>
    </w:p>
    <w:p>
      <w:pPr>
        <w:pStyle w:val="BodyText"/>
      </w:pPr>
      <w:r>
        <w:t xml:space="preserve">[4] B. E. Patiño Cabrera, J. C. Guilombo Osorio y M. Urbano, «Propuesta técnica y económica: Sistema integral para la gestión de servicios móviles de lavado vehicular», documento no publicado, Servicio Nacional de Aprendizaje, 2025.</w:t>
      </w:r>
    </w:p>
    <w:p>
      <w:pPr>
        <w:pStyle w:val="BodyText"/>
      </w:pPr>
      <w:r>
        <w:t xml:space="preserve">[5] S. Newman,</w:t>
      </w:r>
      <w:r>
        <w:t xml:space="preserve"> </w:t>
      </w:r>
      <w:r>
        <w:rPr>
          <w:i/>
          <w:iCs/>
        </w:rPr>
        <w:t xml:space="preserve">Building Microservices: Designing Fine-Grained Systems</w:t>
      </w:r>
      <w:r>
        <w:t xml:space="preserve">, 2.ª ed. O'Reilly Media, 2021.</w:t>
      </w:r>
    </w:p>
    <w:p>
      <w:pPr>
        <w:pStyle w:val="BodyText"/>
      </w:pPr>
      <w:r>
        <w:t xml:space="preserve">[6] C. Richardson,</w:t>
      </w:r>
      <w:r>
        <w:t xml:space="preserve"> </w:t>
      </w:r>
      <w:r>
        <w:rPr>
          <w:i/>
          <w:iCs/>
        </w:rPr>
        <w:t xml:space="preserve">Microservices Patterns: With Examples in Java</w:t>
      </w:r>
      <w:r>
        <w:t xml:space="preserve">. Manning Publications, 2018.</w:t>
      </w:r>
    </w:p>
    <w:p>
      <w:pPr>
        <w:pStyle w:val="BodyText"/>
      </w:pPr>
      <w:r>
        <w:t xml:space="preserve">[7] E. Evans,</w:t>
      </w:r>
      <w:r>
        <w:t xml:space="preserve"> </w:t>
      </w:r>
      <w:r>
        <w:rPr>
          <w:i/>
          <w:iCs/>
        </w:rPr>
        <w:t xml:space="preserve">Domain-Driven Design: Tackling Complexity in the Heart of Software</w:t>
      </w:r>
      <w:r>
        <w:t xml:space="preserve">. Addison-Wesley, 2004.</w:t>
      </w:r>
    </w:p>
    <w:p>
      <w:pPr>
        <w:pStyle w:val="BodyText"/>
      </w:pPr>
      <w:r>
        <w:t xml:space="preserve">[8] A. Cockburn, «Hexagonal architecture,» 2005. [En línea]. Disponible en:</w:t>
      </w:r>
      <w:r>
        <w:t xml:space="preserve"> </w:t>
      </w:r>
      <w:hyperlink r:id="rId58">
        <w:r>
          <w:rPr>
            <w:rStyle w:val="Hyperlink"/>
          </w:rPr>
          <w:t xml:space="preserve">https://alistair.cockburn.us/hexagonal-architecture/</w:t>
        </w:r>
      </w:hyperlink>
    </w:p>
    <w:p>
      <w:pPr>
        <w:pStyle w:val="BodyText"/>
      </w:pPr>
      <w:r>
        <w:t xml:space="preserve">[9] R. T. Fielding, «Architectural styles and the design of network-based software architectures,» tesis doctoral, University of California, Irvine, 2000. [En línea]. Disponible en:</w:t>
      </w:r>
      <w:r>
        <w:t xml:space="preserve"> </w:t>
      </w:r>
      <w:hyperlink r:id="rId59">
        <w:r>
          <w:rPr>
            <w:rStyle w:val="Hyperlink"/>
          </w:rPr>
          <w:t xml:space="preserve">https://ics.uci.edu/~fielding/pubs/dissertation/top.htm</w:t>
        </w:r>
      </w:hyperlink>
    </w:p>
    <w:p>
      <w:pPr>
        <w:pStyle w:val="BodyText"/>
      </w:pPr>
      <w:r>
        <w:t xml:space="preserve">[10] M. Nottingham, E. Wilde y S. Dalal, «Problem details for HTTP APIs,» Internet Engineering Task Force, RFC 9457, 2023. [En línea]. Disponible en:</w:t>
      </w:r>
      <w:r>
        <w:t xml:space="preserve"> </w:t>
      </w:r>
      <w:hyperlink r:id="rId60">
        <w:r>
          <w:rPr>
            <w:rStyle w:val="Hyperlink"/>
          </w:rPr>
          <w:t xml:space="preserve">https://www.rfc-editor.org/rfc/rfc9457</w:t>
        </w:r>
      </w:hyperlink>
    </w:p>
    <w:p>
      <w:pPr>
        <w:pStyle w:val="BodyText"/>
      </w:pPr>
      <w:r>
        <w:t xml:space="preserve">[11] G. Hohpe y B. Woolf,</w:t>
      </w:r>
      <w:r>
        <w:t xml:space="preserve"> </w:t>
      </w:r>
      <w:r>
        <w:rPr>
          <w:i/>
          <w:iCs/>
        </w:rPr>
        <w:t xml:space="preserve">Enterprise Integration Patterns: Designing, Building, and Deploying Messaging Solutions</w:t>
      </w:r>
      <w:r>
        <w:t xml:space="preserve">. Addison-Wesley, 2003.</w:t>
      </w:r>
    </w:p>
    <w:p>
      <w:pPr>
        <w:pStyle w:val="BodyText"/>
      </w:pPr>
      <w:r>
        <w:t xml:space="preserve">[12] M. Jones, J. Bradley y N. Sakimura, «JSON Web Token (JWT),» Internet Engineering Task Force, RFC 7519, 2015. [En línea]. Disponible en:</w:t>
      </w:r>
      <w:r>
        <w:t xml:space="preserve"> </w:t>
      </w:r>
      <w:hyperlink r:id="rId61">
        <w:r>
          <w:rPr>
            <w:rStyle w:val="Hyperlink"/>
          </w:rPr>
          <w:t xml:space="preserve">https://www.rfc-editor.org/rfc/rfc7519</w:t>
        </w:r>
      </w:hyperlink>
    </w:p>
    <w:p>
      <w:pPr>
        <w:pStyle w:val="BodyText"/>
      </w:pPr>
      <w:r>
        <w:t xml:space="preserve">[13] N. Provos y D. Mazières, «A future-adaptable password scheme,» en</w:t>
      </w:r>
      <w:r>
        <w:t xml:space="preserve"> </w:t>
      </w:r>
      <w:r>
        <w:rPr>
          <w:i/>
          <w:iCs/>
        </w:rPr>
        <w:t xml:space="preserve">Proc. 1999 USENIX Annual Technical Conference, FREENIX Track</w:t>
      </w:r>
      <w:r>
        <w:t xml:space="preserve">, 1999, págs. 81–91.</w:t>
      </w:r>
    </w:p>
    <w:p>
      <w:pPr>
        <w:pStyle w:val="BodyText"/>
      </w:pPr>
      <w:r>
        <w:t xml:space="preserve">[14] OWASP Foundation, «OWASP Top 10:2021,» 2021. [En línea]. Disponible en:</w:t>
      </w:r>
      <w:r>
        <w:t xml:space="preserve"> </w:t>
      </w:r>
      <w:hyperlink r:id="rId62">
        <w:r>
          <w:rPr>
            <w:rStyle w:val="Hyperlink"/>
          </w:rPr>
          <w:t xml:space="preserve">https://owasp.org/Top10/</w:t>
        </w:r>
      </w:hyperlink>
    </w:p>
    <w:p>
      <w:pPr>
        <w:pStyle w:val="BodyText"/>
      </w:pPr>
      <w:r>
        <w:t xml:space="preserve">[15]</w:t>
      </w:r>
      <w:r>
        <w:t xml:space="preserve"> </w:t>
      </w:r>
      <w:r>
        <w:rPr>
          <w:i/>
          <w:iCs/>
        </w:rPr>
        <w:t xml:space="preserve">Systems and Software Engineering — Software Life Cycle Processes</w:t>
      </w:r>
      <w:r>
        <w:t xml:space="preserve">, ISO/IEC/IEEE 12207:2017, 2017.</w:t>
      </w:r>
    </w:p>
    <w:p>
      <w:pPr>
        <w:pStyle w:val="BodyText"/>
      </w:pPr>
      <w:r>
        <w:t xml:space="preserve">[16]</w:t>
      </w:r>
      <w:r>
        <w:t xml:space="preserve"> </w:t>
      </w:r>
      <w:r>
        <w:rPr>
          <w:i/>
          <w:iCs/>
        </w:rPr>
        <w:t xml:space="preserve">Software Engineering — Software Life Cycle Processes — Maintenance</w:t>
      </w:r>
      <w:r>
        <w:t xml:space="preserve">, ISO/IEC/IEEE 14764:2022, 2022.</w:t>
      </w:r>
    </w:p>
    <w:p>
      <w:pPr>
        <w:pStyle w:val="BodyText"/>
      </w:pPr>
      <w:r>
        <w:t xml:space="preserve">[17]</w:t>
      </w:r>
      <w:r>
        <w:t xml:space="preserve"> </w:t>
      </w:r>
      <w:r>
        <w:rPr>
          <w:i/>
          <w:iCs/>
        </w:rPr>
        <w:t xml:space="preserve">Quality Management Systems — Requirements</w:t>
      </w:r>
      <w:r>
        <w:t xml:space="preserve">, ISO 9001:2015, 2015.</w:t>
      </w:r>
    </w:p>
    <w:p>
      <w:pPr>
        <w:pStyle w:val="BodyText"/>
      </w:pPr>
      <w:r>
        <w:t xml:space="preserve">[18] M. Nygard, «Documenting architecture decisions,» Cognitect, 2011. [En línea]. Disponible en:</w:t>
      </w:r>
      <w:r>
        <w:t xml:space="preserve"> </w:t>
      </w:r>
      <w:hyperlink r:id="rId63">
        <w:r>
          <w:rPr>
            <w:rStyle w:val="Hyperlink"/>
          </w:rPr>
          <w:t xml:space="preserve">https://cognitect.com/blog/2011/11/15/documenting-architecture-decisions</w:t>
        </w:r>
      </w:hyperlink>
    </w:p>
    <w:p>
      <w:pPr>
        <w:pStyle w:val="BodyText"/>
      </w:pPr>
      <w:r>
        <w:t xml:space="preserve">[19] K. Beck,</w:t>
      </w:r>
      <w:r>
        <w:t xml:space="preserve"> </w:t>
      </w:r>
      <w:r>
        <w:rPr>
          <w:i/>
          <w:iCs/>
        </w:rPr>
        <w:t xml:space="preserve">Test-Driven Development: By Example</w:t>
      </w:r>
      <w:r>
        <w:t xml:space="preserve">. Addison-Wesley, 2003.</w:t>
      </w:r>
    </w:p>
    <w:p>
      <w:pPr>
        <w:pStyle w:val="BodyText"/>
      </w:pPr>
      <w:r>
        <w:t xml:space="preserve">[20] N. Forsgren, J. Humble y G. Kim,</w:t>
      </w:r>
      <w:r>
        <w:t xml:space="preserve"> </w:t>
      </w:r>
      <w:r>
        <w:rPr>
          <w:i/>
          <w:iCs/>
        </w:rPr>
        <w:t xml:space="preserve">Accelerate: The Science of Lean Software and DevOps: Building and Scaling High Performing Technology Organizations</w:t>
      </w:r>
      <w:r>
        <w:t xml:space="preserve">. IT Revolution Press, 2018.</w:t>
      </w:r>
    </w:p>
    <w:p>
      <w:pPr>
        <w:pStyle w:val="BodyText"/>
      </w:pPr>
      <w:r>
        <w:t xml:space="preserve">[21] B. E. Patiño Cabrera, J. C. Guilombo Osorio y M. Urbano, «Documentación de acciones correctivas, preventivas y de mejoramiento del software: Sistema de Gestión de Lavado Vehicular (Vehicle Washing),» versión 2.5, documento no publicado, Servicio Nacional de Aprendizaje, 2026.</w:t>
      </w:r>
    </w:p>
    <w:p>
      <w:pPr>
        <w:pStyle w:val="BodyText"/>
      </w:pPr>
      <w:r>
        <w:t xml:space="preserve">[22] B. E. Patiño Cabrera, J. C. Guilombo Osorio y M. Urbano, «Manual técnico: Sistema de Gestión de Lavado Vehicular (Vehicle Washing),» versión 4.5, documento no publicado, Servicio Nacional de Aprendizaje, 2026.</w:t>
      </w:r>
    </w:p>
    <w:p>
      <w:pPr>
        <w:pStyle w:val="BodyText"/>
      </w:pPr>
      <w:r>
        <w:t xml:space="preserve">[23]</w:t>
      </w:r>
      <w:r>
        <w:t xml:space="preserve"> </w:t>
      </w:r>
      <w:r>
        <w:rPr>
          <w:i/>
          <w:iCs/>
        </w:rPr>
        <w:t xml:space="preserve">IEEE Recommended Practice for Software Requirements Specifications</w:t>
      </w:r>
      <w:r>
        <w:t xml:space="preserve">, IEEE Std 830-1998, 1998.</w:t>
      </w:r>
    </w:p>
    <w:p>
      <w:pPr>
        <w:pStyle w:val="BodyText"/>
      </w:pPr>
      <w:r>
        <w:t xml:space="preserve">[24]</w:t>
      </w:r>
      <w:r>
        <w:t xml:space="preserve"> </w:t>
      </w:r>
      <w:r>
        <w:rPr>
          <w:i/>
          <w:iCs/>
        </w:rPr>
        <w:t xml:space="preserve">Systems and Software Engineering — Life Cycle Processes — Requirements Engineering</w:t>
      </w:r>
      <w:r>
        <w:t xml:space="preserve">, ISO/IEC/IEEE 29148:2018, 2018.</w:t>
      </w:r>
    </w:p>
    <w:p>
      <w:pPr>
        <w:pStyle w:val="BodyText"/>
      </w:pPr>
      <w:r>
        <w:t xml:space="preserve">[25]</w:t>
      </w:r>
      <w:r>
        <w:t xml:space="preserve"> </w:t>
      </w:r>
      <w:r>
        <w:rPr>
          <w:i/>
          <w:iCs/>
        </w:rPr>
        <w:t xml:space="preserve">Systems and Software Engineering — Systems and Software Quality Requirements and Evaluation (SQuaRE) — Product Quality Model</w:t>
      </w:r>
      <w:r>
        <w:t xml:space="preserve">, ISO/IEC 25010:2023, 2023.</w:t>
      </w:r>
    </w:p>
    <w:p>
      <w:pPr>
        <w:pStyle w:val="BodyText"/>
      </w:pPr>
      <w:r>
        <w:t xml:space="preserve">[26] K. Schwaber y J. Sutherland,</w:t>
      </w:r>
      <w:r>
        <w:t xml:space="preserve"> </w:t>
      </w:r>
      <w:r>
        <w:rPr>
          <w:i/>
          <w:iCs/>
        </w:rPr>
        <w:t xml:space="preserve">The Scrum Guide: The Definitive Guide to Scrum: The Rules of the Game</w:t>
      </w:r>
      <w:r>
        <w:t xml:space="preserve">, 2020. [En línea]. Disponible en:</w:t>
      </w:r>
      <w:r>
        <w:t xml:space="preserve"> </w:t>
      </w:r>
      <w:hyperlink r:id="rId64">
        <w:r>
          <w:rPr>
            <w:rStyle w:val="Hyperlink"/>
          </w:rPr>
          <w:t xml:space="preserve">https://scrumguides.org/scrum-guide.html</w:t>
        </w:r>
      </w:hyperlink>
    </w:p>
    <w:p>
      <w:pPr>
        <w:pStyle w:val="BodyText"/>
      </w:pPr>
      <w:r>
        <w:t xml:space="preserve">[27] Equipo de Desarrollo Vehicle Washing,</w:t>
      </w:r>
      <w:r>
        <w:t xml:space="preserve"> </w:t>
      </w:r>
      <w:r>
        <w:rPr>
          <w:i/>
          <w:iCs/>
        </w:rPr>
        <w:t xml:space="preserve">Plan de actividades Scrum del proyecto LavaRapido</w:t>
      </w:r>
      <w:r>
        <w:t xml:space="preserve"> </w:t>
      </w:r>
      <w:r>
        <w:t xml:space="preserve">(scrum1.1), hoja de cálculo no publicada, Servicio Nacional de Aprendizaje, 2026.</w:t>
      </w:r>
    </w:p>
    <w:p>
      <w:pPr>
        <w:pStyle w:val="BodyText"/>
      </w:pPr>
      <w:r>
        <w:t xml:space="preserve">[28] B. E. Patiño Cabrera, J. C. Guilombo Osorio y M. Urbano, «Procedimiento de implementación del software: Sistema de Gestión de Lavado Vehicular (Vehicle Washing),» versión 2.4, documento no publicado, Servicio Nacional de Aprendizaje, 2026.</w:t>
      </w:r>
    </w:p>
    <w:bookmarkEnd w:id="65"/>
    <w:bookmarkStart w:id="67" w:name="apéndice"/>
    <w:p>
      <w:pPr>
        <w:pStyle w:val="Heading2"/>
      </w:pPr>
      <w:r>
        <w:t xml:space="preserve">Apéndice</w:t>
      </w:r>
    </w:p>
    <w:bookmarkStart w:id="66"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r>
        <w:br/>
      </w:r>
      <w:r>
        <w:rPr>
          <w:i/>
          <w:iCs/>
        </w:rP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V reporta solo lo ejecutado</w:t>
            </w:r>
          </w:p>
        </w:tc>
      </w:tr>
    </w:tbl>
    <w:p>
      <w:pPr>
        <w:pStyle w:val="BodyText"/>
      </w:pPr>
      <w:r>
        <w:rPr>
          <w:i/>
          <w:iCs/>
        </w:rPr>
        <w:t xml:space="preserve">Nota.</w:t>
      </w:r>
      <w:r>
        <w:t xml:space="preserve"> </w:t>
      </w:r>
      <w:r>
        <w:t xml:space="preserve">Elaborado por los autores a partir de la revisión de las carpetas del proyecto.</w:t>
      </w:r>
    </w:p>
    <w:p>
      <w:r>
        <w:pict>
          <v:rect style="width:0;height:1.5pt" o:hralign="center" o:hrstd="t" o:hr="t"/>
        </w:pict>
      </w:r>
    </w:p>
    <w:bookmarkEnd w:id="66"/>
    <w:bookmarkEnd w:id="67"/>
    <w:bookmarkEnd w:id="68"/>
    <w:bookmarkStart w:id="108" w:name="X09ce14ca71d2e73acb5661bf6e511b22db7ad4f"/>
    <w:p>
      <w:pPr>
        <w:pStyle w:val="Heading1"/>
      </w:pPr>
      <w:r>
        <w:t xml:space="preserve">Design and Implementation of a Microservices Platform for Booking, Operations, and Verified Payment Management at a Car Wash</w:t>
      </w:r>
    </w:p>
    <w:p>
      <w:pPr>
        <w:pStyle w:val="FirstParagraph"/>
      </w:pPr>
      <w:r>
        <w:t xml:space="preserve">Brayan Estiven Patiño Cabrera, Juan Camilo Guilombo Osorio, Merari Urbano Quintero</w:t>
      </w:r>
      <w:r>
        <w:br/>
      </w:r>
      <w:r>
        <w:rPr>
          <w:i/>
          <w:iCs/>
        </w:rPr>
        <w:t xml:space="preserve">Servicio Nacional de Aprendizaje (SENA), Centro de la Industria, la Empresa y los Servicios, Huila Regional Office, Colombia</w:t>
      </w:r>
    </w:p>
    <w:p>
      <w:pPr>
        <w:pStyle w:val="BodyText"/>
      </w:pPr>
      <w:r>
        <w:rPr>
          <w:i/>
          <w:iCs/>
        </w:rPr>
        <w:t xml:space="preserve">Technologist in Software Analysis and Development (ADSO), Ficha 3145556. Instructor: Karol Daniela Correa. October 21, 2026.</w:t>
      </w:r>
    </w:p>
    <w:p>
      <w:pPr>
        <w:pStyle w:val="BodyText"/>
      </w:pPr>
      <w:r>
        <w:rPr>
          <w:b/>
          <w:bCs/>
          <w:i/>
          <w:iCs/>
        </w:rPr>
        <w:t xml:space="preserve">Abstract</w:t>
      </w:r>
      <w:r>
        <w:rPr>
          <w:b/>
          <w:bCs/>
        </w:rP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21, 2026, 40 of the 41 functional requirements were implemented and 1 was partial. That day 707 automated tests were run and all passed (including 7 persistence tests against an isolated database), and 19 end-to-end tests against the complete system also passed; the 42 functional cases passed on October 19, 2026.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b/>
          <w:bCs/>
          <w:i/>
          <w:iCs/>
        </w:rPr>
        <w:t xml:space="preserve">Index Terms</w:t>
      </w:r>
      <w:r>
        <w:rPr>
          <w:b/>
          <w:bCs/>
        </w:rPr>
        <w:t xml:space="preserve">—microservices, hexagonal architecture, booking system, car wash, QR code payments, software design documentation</w:t>
      </w:r>
    </w:p>
    <w:bookmarkStart w:id="73" w:name="i-introduction"/>
    <w:p>
      <w:pPr>
        <w:pStyle w:val="Heading2"/>
      </w:pPr>
      <w:r>
        <w:t xml:space="preserve">I. Introduction</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69" w:name="a-problem-statement"/>
    <w:p>
      <w:pPr>
        <w:pStyle w:val="Heading3"/>
      </w:pPr>
      <w:r>
        <w:t xml:space="preserve">A. 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[1].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[2].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[2].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69"/>
    <w:bookmarkStart w:id="70" w:name="b-rationale"/>
    <w:p>
      <w:pPr>
        <w:pStyle w:val="Heading3"/>
      </w:pPr>
      <w:r>
        <w:t xml:space="preserve">B. 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[2].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[3],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0"/>
    <w:bookmarkStart w:id="71" w:name="c-objectives"/>
    <w:p>
      <w:pPr>
        <w:pStyle w:val="Heading3"/>
      </w:pPr>
      <w:r>
        <w:t xml:space="preserve">C. Objectives</w:t>
      </w:r>
    </w:p>
    <w:p>
      <w:pPr>
        <w:pStyle w:val="FirstParagraph"/>
      </w:pPr>
      <w:r>
        <w:t xml:space="preserve">The current project objectives are stated in version 7.7 of the SRS [1].</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71"/>
    <w:bookmarkStart w:id="72" w:name="d-scope-evolution"/>
    <w:p>
      <w:pPr>
        <w:pStyle w:val="Heading3"/>
      </w:pPr>
      <w:r>
        <w:t xml:space="preserve">D. 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[4].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[1].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72"/>
    <w:bookmarkEnd w:id="73"/>
    <w:bookmarkStart w:id="79" w:name="ii-conceptual-framework"/>
    <w:p>
      <w:pPr>
        <w:pStyle w:val="Heading2"/>
      </w:pPr>
      <w:r>
        <w:t xml:space="preserve">II. 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74" w:name="a-microservices-and-data-ownership"/>
    <w:p>
      <w:pPr>
        <w:pStyle w:val="Heading3"/>
      </w:pPr>
      <w:r>
        <w:t xml:space="preserve">A. Microservices and Data Ownership</w:t>
      </w:r>
    </w:p>
    <w:p>
      <w:pPr>
        <w:pStyle w:val="FirstParagraph"/>
      </w:pPr>
      <w:r>
        <w:t xml:space="preserve">A microservices architecture organizes software into services that are deployed independently, built around a business capability, and own their data [5]. This style makes it easier for each part to evolve separately, but it introduces problems specific to distributed systems, such as consistency across services and reliable event publishing, for which patterns such as Saga and Outbox exist [6]. Choosing which patterns to adopt, and documenting why others are discarded, is part of the design.</w:t>
      </w:r>
    </w:p>
    <w:bookmarkEnd w:id="74"/>
    <w:bookmarkStart w:id="75" w:name="X26432326db2d6d8f2e19a27c3e8e8a83bf9d553"/>
    <w:p>
      <w:pPr>
        <w:pStyle w:val="Heading3"/>
      </w:pPr>
      <w:r>
        <w:t xml:space="preserve">B. 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[7]. Hexagonal architecture, or ports and adapters, complements that idea: the application core does not depend on the database, the framework, or messaging, which are connected through adapters [8]. The combination makes it possible to test business rules without infrastructure.</w:t>
      </w:r>
    </w:p>
    <w:bookmarkEnd w:id="75"/>
    <w:bookmarkStart w:id="76" w:name="X2d58279b3c06b96d8700f46a5fce4c54d51e97b"/>
    <w:p>
      <w:pPr>
        <w:pStyle w:val="Heading3"/>
      </w:pPr>
      <w:r>
        <w:t xml:space="preserve">C. Synchronous and Asynchronous Integration</w:t>
      </w:r>
    </w:p>
    <w:p>
      <w:pPr>
        <w:pStyle w:val="FirstParagraph"/>
      </w:pPr>
      <w:r>
        <w:t xml:space="preserve">The system's external interfaces follow the REST architectural style [9], and their errors are expressed in the standard</w:t>
      </w:r>
      <w:r>
        <w:t xml:space="preserve"> </w:t>
      </w:r>
      <w:r>
        <w:rPr>
          <w:i/>
          <w:iCs/>
        </w:rPr>
        <w:t xml:space="preserve">Problem Details for HTTP APIs</w:t>
      </w:r>
      <w:r>
        <w:t xml:space="preserve"> </w:t>
      </w:r>
      <w:r>
        <w:t xml:space="preserve">format [10]. For work that can happen after a transaction, such as sending a notification, the system uses publish-subscribe messaging, in which a sender publishes an event without knowing its consumers [11].</w:t>
      </w:r>
    </w:p>
    <w:bookmarkEnd w:id="76"/>
    <w:bookmarkStart w:id="77" w:name="d-application-security"/>
    <w:p>
      <w:pPr>
        <w:pStyle w:val="Heading3"/>
      </w:pPr>
      <w:r>
        <w:t xml:space="preserve">D. Application Security</w:t>
      </w:r>
    </w:p>
    <w:p>
      <w:pPr>
        <w:pStyle w:val="FirstParagraph"/>
      </w:pPr>
      <w:r>
        <w:t xml:space="preserve">Stateless authentication relies on JSON Web Tokens (JWT), signed tokens that carry the user's identity and roles [12]. Passwords are stored with BCrypt, a derivation function with an adjustable cost [13]. The OWASP Top 10 list serves as a reference for reviewing the most common web application risks [14].</w:t>
      </w:r>
    </w:p>
    <w:bookmarkEnd w:id="77"/>
    <w:bookmarkStart w:id="78" w:name="e-software-quality-management"/>
    <w:p>
      <w:pPr>
        <w:pStyle w:val="Heading3"/>
      </w:pPr>
      <w:r>
        <w:t xml:space="preserve">E. Software Quality Management</w:t>
      </w:r>
    </w:p>
    <w:p>
      <w:pPr>
        <w:pStyle w:val="FirstParagraph"/>
      </w:pPr>
      <w:r>
        <w:t xml:space="preserve">The project frames its corrective, preventive, and improvement actions within the maintenance and quality assurance processes of ISO/IEC/IEEE 12207 [15], the maintenance types of ISO/IEC/IEEE 14764 [16], and the continual improvement of ISO 9001 [17]. Architecture decisions are recorded as Architecture Decision Records (ADRs), short documents that capture the context, the decision, and its consequences [18], and tests are written following test-driven development [19]. Research on software delivery performance associates continuous integration and test automation with better delivery outcomes [20].</w:t>
      </w:r>
    </w:p>
    <w:bookmarkEnd w:id="78"/>
    <w:bookmarkEnd w:id="79"/>
    <w:bookmarkStart w:id="86" w:name="iii-method"/>
    <w:p>
      <w:pPr>
        <w:pStyle w:val="Heading2"/>
      </w:pPr>
      <w:r>
        <w:t xml:space="preserve">III. Method</w:t>
      </w:r>
    </w:p>
    <w:bookmarkStart w:id="80" w:name="a-type-of-study"/>
    <w:p>
      <w:pPr>
        <w:pStyle w:val="Heading3"/>
      </w:pPr>
      <w:r>
        <w:t xml:space="preserve">A. 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[21], [22]. Version 7.7 of the SRS follows the structure of IEEE 830 [23] and the contents of ISO/IEC/IEEE 29148 [24], and defines 41 functional requirements, 12 non-functional requirements classified according to the ISO/IEC 25010 quality model [25], 32 use cases, and a traceability matrix with the status of each requirement [1].</w:t>
      </w:r>
    </w:p>
    <w:bookmarkEnd w:id="80"/>
    <w:bookmarkStart w:id="81" w:name="b-context-and-participants"/>
    <w:p>
      <w:pPr>
        <w:pStyle w:val="Heading3"/>
      </w:pPr>
      <w:r>
        <w:t xml:space="preserve">B. 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[2].</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[2] (see the Appendix).</w:t>
      </w:r>
    </w:p>
    <w:bookmarkEnd w:id="81"/>
    <w:bookmarkStart w:id="82" w:name="c-development-process"/>
    <w:p>
      <w:pPr>
        <w:pStyle w:val="Heading3"/>
      </w:pPr>
      <w:r>
        <w:t xml:space="preserve">C. 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[2].</w:t>
      </w:r>
    </w:p>
    <w:p>
      <w:pPr>
        <w:pStyle w:val="BodyText"/>
      </w:pPr>
      <w:r>
        <w:t xml:space="preserve">Work management adapted Scrum practices [26]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[27].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82"/>
    <w:bookmarkStart w:id="83" w:name="X26a904b782424c98909beb2af3f6715cd1ddce1"/>
    <w:p>
      <w:pPr>
        <w:pStyle w:val="Heading3"/>
      </w:pPr>
      <w:r>
        <w:t xml:space="preserve">D. 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[22].</w:t>
      </w:r>
    </w:p>
    <w:p>
      <w:pPr>
        <w:pStyle w:val="Compact"/>
        <w:numPr>
          <w:ilvl w:val="0"/>
          <w:numId w:val="1004"/>
        </w:numPr>
      </w:pPr>
      <w:r>
        <w:t xml:space="preserve">A register of corrective, preventive, and improvement actions with root cause analysis and follow-up indicators [21].</w:t>
      </w:r>
    </w:p>
    <w:p>
      <w:pPr>
        <w:pStyle w:val="Compact"/>
        <w:numPr>
          <w:ilvl w:val="0"/>
          <w:numId w:val="1004"/>
        </w:numPr>
      </w:pPr>
      <w:r>
        <w:t xml:space="preserve">A list of acceptance test cases (CA-01 to CA-16) defined in the implementation procedure [28].</w:t>
      </w:r>
    </w:p>
    <w:bookmarkEnd w:id="83"/>
    <w:bookmarkStart w:id="84" w:name="e-tools"/>
    <w:p>
      <w:pPr>
        <w:pStyle w:val="Heading3"/>
      </w:pPr>
      <w:r>
        <w:t xml:space="preserve">E. Tools</w:t>
      </w:r>
    </w:p>
    <w:p>
      <w:pPr>
        <w:pStyle w:val="FirstParagraph"/>
      </w:pPr>
      <w:r>
        <w:t xml:space="preserve">Table I summarizes the technology stack, taken from the build files of each repository.</w:t>
      </w:r>
    </w:p>
    <w:p>
      <w:pPr>
        <w:pStyle w:val="BodyText"/>
      </w:pPr>
      <w:r>
        <w:rPr>
          <w:b/>
          <w:bCs/>
        </w:rPr>
        <w:t xml:space="preserve">TABLE I</w:t>
      </w:r>
      <w:r>
        <w:br/>
      </w:r>
      <w:r>
        <w:rPr>
          <w:i/>
          <w:iCs/>
        </w:rP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[22]. Continuous integration runs on GitHub Actions in the 10 repositories.</w:t>
      </w:r>
    </w:p>
    <w:bookmarkEnd w:id="84"/>
    <w:bookmarkStart w:id="85" w:name="f-analysis-procedure"/>
    <w:p>
      <w:pPr>
        <w:pStyle w:val="Heading3"/>
      </w:pPr>
      <w:r>
        <w:t xml:space="preserve">F. Analysis Procedure</w:t>
      </w:r>
    </w:p>
    <w:p>
      <w:pPr>
        <w:pStyle w:val="FirstParagraph"/>
      </w:pPr>
      <w:r>
        <w:t xml:space="preserve">The status of the requirements was taken from the SRS traceability matrix, verified against the code on October 21, 2026 [1]. The tests were run again on October 21, 2026: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against the complete system; the 42 functional cases were run on October 19, 2026.</w:t>
      </w:r>
    </w:p>
    <w:bookmarkEnd w:id="85"/>
    <w:bookmarkEnd w:id="86"/>
    <w:bookmarkStart w:id="101" w:name="iv-results"/>
    <w:p>
      <w:pPr>
        <w:pStyle w:val="Heading2"/>
      </w:pPr>
      <w:r>
        <w:t xml:space="preserve">IV. Results</w:t>
      </w:r>
    </w:p>
    <w:bookmarkStart w:id="90" w:name="a-implemented-architecture"/>
    <w:p>
      <w:pPr>
        <w:pStyle w:val="Heading3"/>
      </w:pPr>
      <w:r>
        <w:t xml:space="preserve">A. Implemented Architecture</w:t>
      </w:r>
    </w:p>
    <w:p>
      <w:pPr>
        <w:pStyle w:val="FirstParagraph"/>
      </w:pPr>
      <w:r>
        <w:t xml:space="preserve">The backend consists of six domain microservices behind an API gateway (Fig. 1). The web and mobile clients call only the gateway, which routes</w:t>
      </w:r>
      <w:r>
        <w:t xml:space="preserve"> </w:t>
      </w:r>
      <w:r>
        <w:rPr>
          <w:i/>
          <w:iCs/>
        </w:rPr>
        <w:t xml:space="preserve">/api/v1/*</w:t>
      </w:r>
      <w:r>
        <w:t xml:space="preserve"> </w:t>
      </w:r>
      <w:r>
        <w:t xml:space="preserve">paths to the owning service and does not check the token signature: each service verifies the JWT itself. Since October 21, 2026 the gateway does confirm with security-service that the session of the token is still open, so a token stops working when the session is closed. The five Java services follow the hexagonal architecture (domain, application, and infrastructure, with a domain that does not import Spring or JPA), and the payment service follows a layered architecture in .NET with the same security and error contract [22].</w:t>
      </w:r>
    </w:p>
    <w:p>
      <w:pPr>
        <w:pStyle w:val="BodyText"/>
      </w:pPr>
      <w:r>
        <w:drawing>
          <wp:inline>
            <wp:extent cx="5334000" cy="7936871"/>
            <wp:effectExtent b="0" l="0" r="0" t="0"/>
            <wp:docPr descr="" title="" id="88" name="Picture"/>
            <a:graphic>
              <a:graphicData uri="http://schemas.openxmlformats.org/drawingml/2006/picture">
                <pic:pic>
                  <pic:nvPicPr>
                    <pic:cNvPr descr="diagrama-3.png" id="89" name="Picture"/>
                    <pic:cNvPicPr>
                      <a:picLocks noChangeArrowheads="1" noChangeAspect="1"/>
                    </pic:cNvPicPr>
                  </pic:nvPicPr>
                  <pic:blipFill>
                    <a:blip r:embed="rId87"/>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System Container Diagram</w:t>
      </w:r>
    </w:p>
    <w:p>
      <w:pPr>
        <w:pStyle w:val="BodyText"/>
      </w:pPr>
      <w:r>
        <w:rPr>
          <w:i/>
          <w:iCs/>
        </w:rPr>
        <w:t xml:space="preserve">Note.</w:t>
      </w:r>
      <w:r>
        <w:t xml:space="preserve"> </w:t>
      </w:r>
      <w:r>
        <w:t xml:space="preserve">Adapted from the technical manual [22],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II shows the resulting distribution.</w:t>
      </w:r>
    </w:p>
    <w:p>
      <w:pPr>
        <w:pStyle w:val="BodyText"/>
      </w:pPr>
      <w:r>
        <w:rPr>
          <w:b/>
          <w:bCs/>
        </w:rPr>
        <w:t xml:space="preserve">TABLE II</w:t>
      </w:r>
      <w:r>
        <w:br/>
      </w:r>
      <w:r>
        <w:rPr>
          <w:i/>
          <w:iCs/>
        </w:rP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[22].</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twelve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[22].</w:t>
      </w:r>
    </w:p>
    <w:bookmarkEnd w:id="90"/>
    <w:bookmarkStart w:id="94" w:name="b-business-rules-and-data-integrity"/>
    <w:p>
      <w:pPr>
        <w:pStyle w:val="Heading3"/>
      </w:pPr>
      <w:r>
        <w:t xml:space="preserve">B. Business Rules and Data Integrity</w:t>
      </w:r>
    </w:p>
    <w:p>
      <w:pPr>
        <w:pStyle w:val="FirstParagraph"/>
      </w:pPr>
      <w:r>
        <w:t xml:space="preserve">The most critical rules do not depend only on application code; they are also enforced in the database (Table III).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III</w:t>
      </w:r>
      <w:r>
        <w:br/>
      </w:r>
      <w:r>
        <w:rPr>
          <w:i/>
          <w:iCs/>
        </w:rP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[22].</w:t>
      </w:r>
    </w:p>
    <w:p>
      <w:pPr>
        <w:pStyle w:val="BodyText"/>
      </w:pPr>
      <w:r>
        <w:t xml:space="preserve">Booking, assignment, and payment have independent life cycles, so a confirmed booking does not make a pending payment look approved. Fig. 2 shows the booking life cycle; a payment moves through the states PENDING, IN_REVIEW, APPROVED or REJECTED, and an approved payment can move to REFUNDED.</w:t>
      </w:r>
    </w:p>
    <w:p>
      <w:pPr>
        <w:pStyle w:val="BodyText"/>
      </w:pPr>
      <w:r>
        <w:drawing>
          <wp:inline>
            <wp:extent cx="5334000" cy="1012837"/>
            <wp:effectExtent b="0" l="0" r="0" t="0"/>
            <wp:docPr descr="" title="" id="92" name="Picture"/>
            <a:graphic>
              <a:graphicData uri="http://schemas.openxmlformats.org/drawingml/2006/picture">
                <pic:pic>
                  <pic:nvPicPr>
                    <pic:cNvPr descr="diagrama-4.png" id="93" name="Picture"/>
                    <pic:cNvPicPr>
                      <a:picLocks noChangeArrowheads="1" noChangeAspect="1"/>
                    </pic:cNvPicPr>
                  </pic:nvPicPr>
                  <pic:blipFill>
                    <a:blip r:embed="rId91"/>
                    <a:stretch>
                      <a:fillRect/>
                    </a:stretch>
                  </pic:blipFill>
                  <pic:spPr bwMode="auto">
                    <a:xfrm>
                      <a:off x="0" y="0"/>
                      <a:ext cx="5334000" cy="1012837"/>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Booking State Diagram</w:t>
      </w:r>
    </w:p>
    <w:p>
      <w:pPr>
        <w:pStyle w:val="BodyText"/>
      </w:pPr>
      <w:r>
        <w:rPr>
          <w:i/>
          <w:iCs/>
        </w:rPr>
        <w:t xml:space="preserve">Note.</w:t>
      </w:r>
      <w:r>
        <w:t xml:space="preserve"> </w:t>
      </w:r>
      <w:r>
        <w:t xml:space="preserve">Gray states are final.</w:t>
      </w:r>
      <w:r>
        <w:t xml:space="preserve"> </w:t>
      </w:r>
      <w:r>
        <w:rPr>
          <w:i/>
          <w:iCs/>
        </w:rPr>
        <w:t xml:space="preserve">Expired</w:t>
      </w:r>
      <w:r>
        <w:t xml:space="preserve">: the system cancels a scheduled booking nobody confirmed one hour after its end time;</w:t>
      </w:r>
      <w:r>
        <w:t xml:space="preserve"> </w:t>
      </w:r>
      <w:r>
        <w:rPr>
          <w:i/>
          <w:iCs/>
        </w:rPr>
        <w:t xml:space="preserve">ended without operator</w:t>
      </w:r>
      <w:r>
        <w:t xml:space="preserve">: in the same time, a confirmed booking that never had an operator becomes NO_SHOW. A confirmed booking with an operator that nobody recorded is closed by the administrator. Taken from the technical manual [22].</w:t>
      </w:r>
    </w:p>
    <w:bookmarkEnd w:id="94"/>
    <w:bookmarkStart w:id="95" w:name="X2e7a17429eec3b1ecfdf1d4af841e587af38332"/>
    <w:p>
      <w:pPr>
        <w:pStyle w:val="Heading3"/>
      </w:pPr>
      <w:r>
        <w:t xml:space="preserve">C. 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IV summarizes their status as of October 21, 2026: 40 implemented (98%) and 1 partial.</w:t>
      </w:r>
    </w:p>
    <w:p>
      <w:pPr>
        <w:pStyle w:val="BodyText"/>
      </w:pPr>
      <w:r>
        <w:rPr>
          <w:b/>
          <w:bCs/>
        </w:rPr>
        <w:t xml:space="preserve">TABLE IV</w:t>
      </w:r>
      <w:r>
        <w:br/>
      </w:r>
      <w:r>
        <w:rPr>
          <w:i/>
          <w:iCs/>
        </w:rPr>
        <w:t xml:space="preserve">Status of the Functional Requirements as of October 21,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7.7 [1].</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[1].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(bookings and assignments are already made one at a time with database locks, but integration tests against SQL Server are missing), observability, maintainability, portability, compatibility (web screens do not overflow 360 px, but testing on an Android 8 device is missing), usability (no test with users), and localization.</w:t>
      </w:r>
    </w:p>
    <w:bookmarkEnd w:id="95"/>
    <w:bookmarkStart w:id="96" w:name="d-test-results"/>
    <w:p>
      <w:pPr>
        <w:pStyle w:val="Heading3"/>
      </w:pPr>
      <w:r>
        <w:t xml:space="preserve">D. Test Results</w:t>
      </w:r>
    </w:p>
    <w:p>
      <w:pPr>
        <w:pStyle w:val="FirstParagraph"/>
      </w:pPr>
      <w:r>
        <w:t xml:space="preserve">On the night of October 21, 2026, all the automated suites were run: 707 tests passed, none failed or skipped; the 7 payment-service persistence tests ran against an isolated test database (Table V). That same day the 19 end-to-end tests of</w:t>
      </w:r>
      <w:r>
        <w:t xml:space="preserve"> </w:t>
      </w:r>
      <w:r>
        <w:rPr>
          <w:i/>
          <w:iCs/>
        </w:rPr>
        <w:t xml:space="preserve">lavarapido-infra/e2e</w:t>
      </w:r>
      <w:r>
        <w:t xml:space="preserve"> </w:t>
      </w:r>
      <w:r>
        <w:t xml:space="preserve">passed; they run through the complete system: booking with operator choice and automatic assignment, the flow of the three roles with payment, approval, points, execution, and rating, the inspection report with photos and a public link, and access rules per role, with the gateway session check on. The SRS recorded 347 tests on October 6 [1]; the difference corresponds to the tests added with each new function.</w:t>
      </w:r>
    </w:p>
    <w:p>
      <w:pPr>
        <w:pStyle w:val="BodyText"/>
      </w:pPr>
      <w:r>
        <w:rPr>
          <w:b/>
          <w:bCs/>
        </w:rPr>
        <w:t xml:space="preserve">TABLE V</w:t>
      </w:r>
      <w:r>
        <w:br/>
      </w:r>
      <w:r>
        <w:rPr>
          <w:i/>
          <w:iCs/>
        </w:rPr>
        <w:t xml:space="preserve">Results of the Automated Test Run (October 21,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62</w:t>
            </w:r>
          </w:p>
        </w:tc>
        <w:tc>
          <w:tcPr/>
          <w:p>
            <w:pPr>
              <w:pStyle w:val="Compact"/>
            </w:pPr>
            <w:r>
              <w:t xml:space="preserve">62</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40</w:t>
            </w:r>
          </w:p>
        </w:tc>
        <w:tc>
          <w:tcPr/>
          <w:p>
            <w:pPr>
              <w:pStyle w:val="Compact"/>
            </w:pPr>
            <w:r>
              <w:t xml:space="preserve">40</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155</w:t>
            </w:r>
          </w:p>
        </w:tc>
        <w:tc>
          <w:tcPr/>
          <w:p>
            <w:pPr>
              <w:pStyle w:val="Compact"/>
            </w:pPr>
            <w:r>
              <w:t xml:space="preserve">155</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50</w:t>
            </w:r>
          </w:p>
        </w:tc>
        <w:tc>
          <w:tcPr/>
          <w:p>
            <w:pPr>
              <w:pStyle w:val="Compact"/>
            </w:pPr>
            <w:r>
              <w:t xml:space="preserve">50</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67</w:t>
            </w:r>
          </w:p>
        </w:tc>
        <w:tc>
          <w:tcPr/>
          <w:p>
            <w:pPr>
              <w:pStyle w:val="Compact"/>
            </w:pPr>
            <w:r>
              <w:t xml:space="preserve">67</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114</w:t>
            </w:r>
          </w:p>
        </w:tc>
        <w:tc>
          <w:tcPr/>
          <w:p>
            <w:pPr>
              <w:pStyle w:val="Compact"/>
            </w:pPr>
            <w:r>
              <w:t xml:space="preserve">114</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150</w:t>
            </w:r>
          </w:p>
        </w:tc>
        <w:tc>
          <w:tcPr/>
          <w:p>
            <w:pPr>
              <w:pStyle w:val="Compact"/>
            </w:pPr>
            <w:r>
              <w:t xml:space="preserve">150</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707</w:t>
            </w:r>
          </w:p>
        </w:tc>
        <w:tc>
          <w:tcPr/>
          <w:p>
            <w:pPr>
              <w:pStyle w:val="Compact"/>
            </w:pPr>
            <w:r>
              <w:rPr>
                <w:b/>
                <w:bCs/>
              </w:rPr>
              <w:t xml:space="preserve">707</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42 functional cases of the test documentation were run on October 19, 2026, against the complete system, all of them passing.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96"/>
    <w:bookmarkStart w:id="97" w:name="e-security"/>
    <w:p>
      <w:pPr>
        <w:pStyle w:val="Heading3"/>
      </w:pPr>
      <w:r>
        <w:t xml:space="preserve">E. Security</w:t>
      </w:r>
    </w:p>
    <w:p>
      <w:pPr>
        <w:pStyle w:val="FirstParagraph"/>
      </w:pPr>
      <w:r>
        <w:t xml:space="preserve">Table VI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VI</w:t>
      </w:r>
      <w:r>
        <w:br/>
      </w:r>
      <w:r>
        <w:rPr>
          <w:i/>
          <w:iCs/>
        </w:rP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[14], [22].</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[3]. The profile option formerly called "Delete account" is now called "Deactivate my account", because the account is deactivated and its history is kept.</w:t>
      </w:r>
    </w:p>
    <w:bookmarkEnd w:id="97"/>
    <w:bookmarkStart w:id="98" w:name="Xcb19a1ddec9982cdc40f9f853e3252e5b22ecca"/>
    <w:p>
      <w:pPr>
        <w:pStyle w:val="Heading3"/>
      </w:pPr>
      <w:r>
        <w:t xml:space="preserve">F. Defect Management and Continual Improvement</w:t>
      </w:r>
    </w:p>
    <w:p>
      <w:pPr>
        <w:pStyle w:val="FirstParagraph"/>
      </w:pPr>
      <w:r>
        <w:t xml:space="preserve">As of October 21, 2026, the actions register contained 52 closed corrective actions, 3 open corrective actions, 18 preventive actions, and 16 improvement actions, 8 of which are already closed [21]. The corrective closure indicator rose from 64% on October 9 to 95% (52 of 55),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two simultaneous requests that tried to create the same operator (AC-35), and a token that kept working up to an hour after logout (AC-44).</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[22]. The review of October 16, 2026, closed the ones still open and brought the manuals to version 4.0, with real screenshots of the system.</w:t>
      </w:r>
    </w:p>
    <w:bookmarkEnd w:id="98"/>
    <w:bookmarkStart w:id="99" w:name="g-costs"/>
    <w:p>
      <w:pPr>
        <w:pStyle w:val="Heading3"/>
      </w:pPr>
      <w:r>
        <w:t xml:space="preserve">G. 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[4], distributed as shown in Table VII. Human resources account for 79% of the cost.</w:t>
      </w:r>
    </w:p>
    <w:p>
      <w:pPr>
        <w:pStyle w:val="BodyText"/>
      </w:pPr>
      <w:r>
        <w:rPr>
          <w:b/>
          <w:bCs/>
        </w:rPr>
        <w:t xml:space="preserve">TABLE VII</w:t>
      </w:r>
      <w:r>
        <w:br/>
      </w:r>
      <w:r>
        <w:rPr>
          <w:i/>
          <w:iCs/>
        </w:rP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[4]. The proposal was calculated on the initial technology stack (Windows 10 Pro, MySQL, and a layered architecture), before the move to microservices and SQL Server.</w:t>
      </w:r>
    </w:p>
    <w:bookmarkEnd w:id="99"/>
    <w:bookmarkStart w:id="100" w:name="h-results-with-users"/>
    <w:p>
      <w:pPr>
        <w:pStyle w:val="Heading3"/>
      </w:pPr>
      <w:r>
        <w:t xml:space="preserve">H. 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[28], and the project defined the success measures to be captured as a baseline: completed booking flows, booking conflicts, services with a final status, payments reconciled with bookings, ratings, and read notifications [2]. The activity plan also included requirements validation with the client and final tests with the client in the last sprint [27], but the documents reviewed contain no records of their results.</w:t>
      </w:r>
    </w:p>
    <w:bookmarkEnd w:id="100"/>
    <w:bookmarkEnd w:id="101"/>
    <w:bookmarkStart w:id="103" w:name="v-discussion"/>
    <w:p>
      <w:pPr>
        <w:pStyle w:val="Heading2"/>
      </w:pPr>
      <w:r>
        <w:t xml:space="preserve">V. 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[5]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[6].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[4].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With the same criterion, since October 21, 2026 the manual and the automatic assignment of an operator are made one at a time with a SQL Server lock. The team review also found a risk in the first version of the automatic close of bookings, from the same day: it marked as No-show every confirmed booking nobody started, so a service done but not recorded would have appeared as a customer absence in the history and the reports. The design was changed so that the system decides on its own only when it is sure (a booking that never had an operator) and leaves the rest to the administrator in a list of bookings to close.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[8] is reflected in the shape of the tests: 700 of the 707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[21]. The ADRs [18] allowed scope changes, such as manual operator assignment, to be justified rather than appearing as silent non-compliance.</w:t>
      </w:r>
    </w:p>
    <w:bookmarkStart w:id="102" w:name="a-limitations"/>
    <w:p>
      <w:pPr>
        <w:pStyle w:val="Heading3"/>
      </w:pPr>
      <w:r>
        <w:t xml:space="preserve">A. 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since October 21, 2026 the database is backed up and checked every day, but the copies stay on the same disk.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[1]. Sixth, the case is single and small-scale, so its conclusions cannot be generalized to other businesses.</w:t>
      </w:r>
    </w:p>
    <w:bookmarkEnd w:id="102"/>
    <w:bookmarkEnd w:id="103"/>
    <w:bookmarkStart w:id="104" w:name="vi-conclusions"/>
    <w:p>
      <w:pPr>
        <w:pStyle w:val="Heading2"/>
      </w:pPr>
      <w:r>
        <w:t xml:space="preserve">VI. 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707 automated tests, 19 end-to-end tests, and 42 functional cases passing with no failures, and the system deployed on a public server with HTTPS. The critical business rules are enforced in the database, which protects the system against concurrency in bookings, assignments,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[22].</w:t>
      </w:r>
    </w:p>
    <w:bookmarkEnd w:id="104"/>
    <w:bookmarkStart w:id="105" w:name="references"/>
    <w:p>
      <w:pPr>
        <w:pStyle w:val="Heading2"/>
      </w:pPr>
      <w:r>
        <w:t xml:space="preserve">References</w:t>
      </w:r>
    </w:p>
    <w:p>
      <w:pPr>
        <w:pStyle w:val="FirstParagraph"/>
      </w:pPr>
      <w:r>
        <w:t xml:space="preserve">[1] J. C. Guilombo Osorio, B. E. Patiño Cabrera and M. Urbano Quintero, “Especificación de requisitos de software (SRS) del sistema LavaRápido: Plataforma web y móvil de reservas y gestión para un lavadero de vehículos” [Software requirements specification (SRS) of the LavaRápido system: Web and mobile booking and management platform for a car wash], version 7.7, unpublished document, Servicio Nacional de Aprendizaje, 2026.</w:t>
      </w:r>
    </w:p>
    <w:p>
      <w:pPr>
        <w:pStyle w:val="BodyText"/>
      </w:pPr>
      <w:r>
        <w:t xml:space="preserve">[2] Vehicle Washing Development Team,</w:t>
      </w:r>
      <w:r>
        <w:t xml:space="preserve"> </w:t>
      </w:r>
      <w:r>
        <w:rPr>
          <w:i/>
          <w:iCs/>
        </w:rPr>
        <w:t xml:space="preserve">Vehicle Washing Management System: Project Documentation</w:t>
      </w:r>
      <w:r>
        <w:t xml:space="preserve"> </w:t>
      </w:r>
      <w:r>
        <w:t xml:space="preserve">(vehicle-w-docs), unpublished project documentation, 2026. [Online]. Available:</w:t>
      </w:r>
      <w:r>
        <w:t xml:space="preserve"> </w:t>
      </w:r>
      <w:hyperlink r:id="rId56">
        <w:r>
          <w:rPr>
            <w:rStyle w:val="Hyperlink"/>
          </w:rPr>
          <w:t xml:space="preserve">https://github.com/code-sena/vehicle-w-docs</w:t>
        </w:r>
      </w:hyperlink>
    </w:p>
    <w:p>
      <w:pPr>
        <w:pStyle w:val="BodyText"/>
      </w:pPr>
      <w:r>
        <w:t xml:space="preserve">[3] Congreso de la República de Colombia,</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 2012. [Online]. Available:</w:t>
      </w:r>
      <w:r>
        <w:t xml:space="preserve"> </w:t>
      </w:r>
      <w:hyperlink r:id="rId57">
        <w:r>
          <w:rPr>
            <w:rStyle w:val="Hyperlink"/>
          </w:rPr>
          <w:t xml:space="preserve">http://www.secretariasenado.gov.co/senado/basedoc/ley_1581_2012.html</w:t>
        </w:r>
      </w:hyperlink>
    </w:p>
    <w:p>
      <w:pPr>
        <w:pStyle w:val="BodyText"/>
      </w:pPr>
      <w:r>
        <w:t xml:space="preserve">[4] B. E. Patiño Cabrera, J. C. Guilombo Osorio and M. Urbano, “Propuesta técnica y económica: Sistema integral para la gestión de servicios móviles de lavado vehicular” [Technical and economic proposal: Comprehensive system for managing mobile car wash services], unpublished document, Servicio Nacional de Aprendizaje, 2025.</w:t>
      </w:r>
    </w:p>
    <w:p>
      <w:pPr>
        <w:pStyle w:val="BodyText"/>
      </w:pPr>
      <w:r>
        <w:t xml:space="preserve">[5] S. Newman,</w:t>
      </w:r>
      <w:r>
        <w:t xml:space="preserve"> </w:t>
      </w:r>
      <w:r>
        <w:rPr>
          <w:i/>
          <w:iCs/>
        </w:rPr>
        <w:t xml:space="preserve">Building Microservices: Designing Fine-Grained Systems</w:t>
      </w:r>
      <w:r>
        <w:t xml:space="preserve">, 2nd ed. O'Reilly Media, 2021.</w:t>
      </w:r>
    </w:p>
    <w:p>
      <w:pPr>
        <w:pStyle w:val="BodyText"/>
      </w:pPr>
      <w:r>
        <w:t xml:space="preserve">[6] C. Richardson,</w:t>
      </w:r>
      <w:r>
        <w:t xml:space="preserve"> </w:t>
      </w:r>
      <w:r>
        <w:rPr>
          <w:i/>
          <w:iCs/>
        </w:rPr>
        <w:t xml:space="preserve">Microservices Patterns: With Examples in Java</w:t>
      </w:r>
      <w:r>
        <w:t xml:space="preserve">. Manning Publications, 2018.</w:t>
      </w:r>
    </w:p>
    <w:p>
      <w:pPr>
        <w:pStyle w:val="BodyText"/>
      </w:pPr>
      <w:r>
        <w:t xml:space="preserve">[7] E. Evans,</w:t>
      </w:r>
      <w:r>
        <w:t xml:space="preserve"> </w:t>
      </w:r>
      <w:r>
        <w:rPr>
          <w:i/>
          <w:iCs/>
        </w:rPr>
        <w:t xml:space="preserve">Domain-Driven Design: Tackling Complexity in the Heart of Software</w:t>
      </w:r>
      <w:r>
        <w:t xml:space="preserve">. Addison-Wesley, 2004.</w:t>
      </w:r>
    </w:p>
    <w:p>
      <w:pPr>
        <w:pStyle w:val="BodyText"/>
      </w:pPr>
      <w:r>
        <w:t xml:space="preserve">[8] A. Cockburn, “Hexagonal architecture,” 2005. [Online]. Available:</w:t>
      </w:r>
      <w:r>
        <w:t xml:space="preserve"> </w:t>
      </w:r>
      <w:hyperlink r:id="rId58">
        <w:r>
          <w:rPr>
            <w:rStyle w:val="Hyperlink"/>
          </w:rPr>
          <w:t xml:space="preserve">https://alistair.cockburn.us/hexagonal-architecture/</w:t>
        </w:r>
      </w:hyperlink>
    </w:p>
    <w:p>
      <w:pPr>
        <w:pStyle w:val="BodyText"/>
      </w:pPr>
      <w:r>
        <w:t xml:space="preserve">[9] R. T. Fielding, “Architectural styles and the design of network-based software architectures,” Ph.D. dissertation, University of California, Irvine, 2000. [Online]. Available:</w:t>
      </w:r>
      <w:r>
        <w:t xml:space="preserve"> </w:t>
      </w:r>
      <w:hyperlink r:id="rId59">
        <w:r>
          <w:rPr>
            <w:rStyle w:val="Hyperlink"/>
          </w:rPr>
          <w:t xml:space="preserve">https://ics.uci.edu/~fielding/pubs/dissertation/top.htm</w:t>
        </w:r>
      </w:hyperlink>
    </w:p>
    <w:p>
      <w:pPr>
        <w:pStyle w:val="BodyText"/>
      </w:pPr>
      <w:r>
        <w:t xml:space="preserve">[10] M. Nottingham, E. Wilde and S. Dalal, “Problem details for HTTP APIs,” Internet Engineering Task Force, RFC 9457, 2023. [Online]. Available:</w:t>
      </w:r>
      <w:r>
        <w:t xml:space="preserve"> </w:t>
      </w:r>
      <w:hyperlink r:id="rId60">
        <w:r>
          <w:rPr>
            <w:rStyle w:val="Hyperlink"/>
          </w:rPr>
          <w:t xml:space="preserve">https://www.rfc-editor.org/rfc/rfc9457</w:t>
        </w:r>
      </w:hyperlink>
    </w:p>
    <w:p>
      <w:pPr>
        <w:pStyle w:val="BodyText"/>
      </w:pPr>
      <w:r>
        <w:t xml:space="preserve">[11] G. Hohpe and B. Woolf,</w:t>
      </w:r>
      <w:r>
        <w:t xml:space="preserve"> </w:t>
      </w:r>
      <w:r>
        <w:rPr>
          <w:i/>
          <w:iCs/>
        </w:rPr>
        <w:t xml:space="preserve">Enterprise Integration Patterns: Designing, Building, and Deploying Messaging Solutions</w:t>
      </w:r>
      <w:r>
        <w:t xml:space="preserve">. Addison-Wesley, 2003.</w:t>
      </w:r>
    </w:p>
    <w:p>
      <w:pPr>
        <w:pStyle w:val="BodyText"/>
      </w:pPr>
      <w:r>
        <w:t xml:space="preserve">[12] M. Jones, J. Bradley and N. Sakimura, “JSON Web Token (JWT),” Internet Engineering Task Force, RFC 7519, 2015. [Online]. Available:</w:t>
      </w:r>
      <w:r>
        <w:t xml:space="preserve"> </w:t>
      </w:r>
      <w:hyperlink r:id="rId61">
        <w:r>
          <w:rPr>
            <w:rStyle w:val="Hyperlink"/>
          </w:rPr>
          <w:t xml:space="preserve">https://www.rfc-editor.org/rfc/rfc7519</w:t>
        </w:r>
      </w:hyperlink>
    </w:p>
    <w:p>
      <w:pPr>
        <w:pStyle w:val="BodyText"/>
      </w:pPr>
      <w:r>
        <w:t xml:space="preserve">[13] N. Provos and D. Mazières, “A future-adaptable password scheme,” in</w:t>
      </w:r>
      <w:r>
        <w:t xml:space="preserve"> </w:t>
      </w:r>
      <w:r>
        <w:rPr>
          <w:i/>
          <w:iCs/>
        </w:rPr>
        <w:t xml:space="preserve">Proc. 1999 USENIX Annual Technical Conference, FREENIX Track</w:t>
      </w:r>
      <w:r>
        <w:t xml:space="preserve">, 1999, pp. 81–91.</w:t>
      </w:r>
    </w:p>
    <w:p>
      <w:pPr>
        <w:pStyle w:val="BodyText"/>
      </w:pPr>
      <w:r>
        <w:t xml:space="preserve">[14] OWASP Foundation, “OWASP Top 10:2021,” 2021. [Online]. Available:</w:t>
      </w:r>
      <w:r>
        <w:t xml:space="preserve"> </w:t>
      </w:r>
      <w:hyperlink r:id="rId62">
        <w:r>
          <w:rPr>
            <w:rStyle w:val="Hyperlink"/>
          </w:rPr>
          <w:t xml:space="preserve">https://owasp.org/Top10/</w:t>
        </w:r>
      </w:hyperlink>
    </w:p>
    <w:p>
      <w:pPr>
        <w:pStyle w:val="BodyText"/>
      </w:pPr>
      <w:r>
        <w:t xml:space="preserve">[15]</w:t>
      </w:r>
      <w:r>
        <w:t xml:space="preserve"> </w:t>
      </w:r>
      <w:r>
        <w:rPr>
          <w:i/>
          <w:iCs/>
        </w:rPr>
        <w:t xml:space="preserve">Systems and Software Engineering — Software Life Cycle Processes</w:t>
      </w:r>
      <w:r>
        <w:t xml:space="preserve">, ISO/IEC/IEEE 12207:2017, 2017.</w:t>
      </w:r>
    </w:p>
    <w:p>
      <w:pPr>
        <w:pStyle w:val="BodyText"/>
      </w:pPr>
      <w:r>
        <w:t xml:space="preserve">[16]</w:t>
      </w:r>
      <w:r>
        <w:t xml:space="preserve"> </w:t>
      </w:r>
      <w:r>
        <w:rPr>
          <w:i/>
          <w:iCs/>
        </w:rPr>
        <w:t xml:space="preserve">Software Engineering — Software Life Cycle Processes — Maintenance</w:t>
      </w:r>
      <w:r>
        <w:t xml:space="preserve">, ISO/IEC/IEEE 14764:2022, 2022.</w:t>
      </w:r>
    </w:p>
    <w:p>
      <w:pPr>
        <w:pStyle w:val="BodyText"/>
      </w:pPr>
      <w:r>
        <w:t xml:space="preserve">[17]</w:t>
      </w:r>
      <w:r>
        <w:t xml:space="preserve"> </w:t>
      </w:r>
      <w:r>
        <w:rPr>
          <w:i/>
          <w:iCs/>
        </w:rPr>
        <w:t xml:space="preserve">Quality Management Systems — Requirements</w:t>
      </w:r>
      <w:r>
        <w:t xml:space="preserve">, ISO 9001:2015, 2015.</w:t>
      </w:r>
    </w:p>
    <w:p>
      <w:pPr>
        <w:pStyle w:val="BodyText"/>
      </w:pPr>
      <w:r>
        <w:t xml:space="preserve">[18] M. Nygard, “Documenting architecture decisions,” Cognitect, 2011. [Online]. Available:</w:t>
      </w:r>
      <w:r>
        <w:t xml:space="preserve"> </w:t>
      </w:r>
      <w:hyperlink r:id="rId63">
        <w:r>
          <w:rPr>
            <w:rStyle w:val="Hyperlink"/>
          </w:rPr>
          <w:t xml:space="preserve">https://cognitect.com/blog/2011/11/15/documenting-architecture-decisions</w:t>
        </w:r>
      </w:hyperlink>
    </w:p>
    <w:p>
      <w:pPr>
        <w:pStyle w:val="BodyText"/>
      </w:pPr>
      <w:r>
        <w:t xml:space="preserve">[19] K. Beck,</w:t>
      </w:r>
      <w:r>
        <w:t xml:space="preserve"> </w:t>
      </w:r>
      <w:r>
        <w:rPr>
          <w:i/>
          <w:iCs/>
        </w:rPr>
        <w:t xml:space="preserve">Test-Driven Development: By Example</w:t>
      </w:r>
      <w:r>
        <w:t xml:space="preserve">. Addison-Wesley, 2003.</w:t>
      </w:r>
    </w:p>
    <w:p>
      <w:pPr>
        <w:pStyle w:val="BodyText"/>
      </w:pPr>
      <w:r>
        <w:t xml:space="preserve">[20] N. Forsgren, J. Humble and G. Kim,</w:t>
      </w:r>
      <w:r>
        <w:t xml:space="preserve"> </w:t>
      </w:r>
      <w:r>
        <w:rPr>
          <w:i/>
          <w:iCs/>
        </w:rPr>
        <w:t xml:space="preserve">Accelerate: The Science of Lean Software and DevOps: Building and Scaling High Performing Technology Organizations</w:t>
      </w:r>
      <w:r>
        <w:t xml:space="preserve">. IT Revolution Press, 2018.</w:t>
      </w:r>
    </w:p>
    <w:p>
      <w:pPr>
        <w:pStyle w:val="BodyText"/>
      </w:pPr>
      <w:r>
        <w:t xml:space="preserve">[21] B. E. Patiño Cabrera, J. C. Guilombo Osorio and M. Urbano, “Documentation of Corrective, Preventive, and Improvement Actions for the Software: Vehicle Washing Management System (Vehicle Washing),” version 2.5, unpublished document, Servicio Nacional de Aprendizaje, 2026.</w:t>
      </w:r>
    </w:p>
    <w:p>
      <w:pPr>
        <w:pStyle w:val="BodyText"/>
      </w:pPr>
      <w:r>
        <w:t xml:space="preserve">[22] B. E. Patiño Cabrera, J. C. Guilombo Osorio and M. Urbano, “Technical Manual: Vehicle Washing Management System (Vehicle Washing),” version 4.5, unpublished document, Servicio Nacional de Aprendizaje, 2026.</w:t>
      </w:r>
    </w:p>
    <w:p>
      <w:pPr>
        <w:pStyle w:val="BodyText"/>
      </w:pPr>
      <w:r>
        <w:t xml:space="preserve">[23]</w:t>
      </w:r>
      <w:r>
        <w:t xml:space="preserve"> </w:t>
      </w:r>
      <w:r>
        <w:rPr>
          <w:i/>
          <w:iCs/>
        </w:rPr>
        <w:t xml:space="preserve">IEEE Recommended Practice for Software Requirements Specifications</w:t>
      </w:r>
      <w:r>
        <w:t xml:space="preserve">, IEEE Std 830-1998, 1998.</w:t>
      </w:r>
    </w:p>
    <w:p>
      <w:pPr>
        <w:pStyle w:val="BodyText"/>
      </w:pPr>
      <w:r>
        <w:t xml:space="preserve">[24]</w:t>
      </w:r>
      <w:r>
        <w:t xml:space="preserve"> </w:t>
      </w:r>
      <w:r>
        <w:rPr>
          <w:i/>
          <w:iCs/>
        </w:rPr>
        <w:t xml:space="preserve">Systems and Software Engineering — Life Cycle Processes — Requirements Engineering</w:t>
      </w:r>
      <w:r>
        <w:t xml:space="preserve">, ISO/IEC/IEEE 29148:2018, 2018.</w:t>
      </w:r>
    </w:p>
    <w:p>
      <w:pPr>
        <w:pStyle w:val="BodyText"/>
      </w:pPr>
      <w:r>
        <w:t xml:space="preserve">[25]</w:t>
      </w:r>
      <w:r>
        <w:t xml:space="preserve"> </w:t>
      </w:r>
      <w:r>
        <w:rPr>
          <w:i/>
          <w:iCs/>
        </w:rPr>
        <w:t xml:space="preserve">Systems and Software Engineering — Systems and Software Quality Requirements and Evaluation (SQuaRE) — Product Quality Model</w:t>
      </w:r>
      <w:r>
        <w:t xml:space="preserve">, ISO/IEC 25010:2023, 2023.</w:t>
      </w:r>
    </w:p>
    <w:p>
      <w:pPr>
        <w:pStyle w:val="BodyText"/>
      </w:pPr>
      <w:r>
        <w:t xml:space="preserve">[26] K. Schwaber and J. Sutherland,</w:t>
      </w:r>
      <w:r>
        <w:t xml:space="preserve"> </w:t>
      </w:r>
      <w:r>
        <w:rPr>
          <w:i/>
          <w:iCs/>
        </w:rPr>
        <w:t xml:space="preserve">The Scrum Guide: The Definitive Guide to Scrum: The Rules of the Game</w:t>
      </w:r>
      <w:r>
        <w:t xml:space="preserve">, 2020. [Online]. Available:</w:t>
      </w:r>
      <w:r>
        <w:t xml:space="preserve"> </w:t>
      </w:r>
      <w:hyperlink r:id="rId64">
        <w:r>
          <w:rPr>
            <w:rStyle w:val="Hyperlink"/>
          </w:rPr>
          <w:t xml:space="preserve">https://scrumguides.org/scrum-guide.html</w:t>
        </w:r>
      </w:hyperlink>
    </w:p>
    <w:p>
      <w:pPr>
        <w:pStyle w:val="BodyText"/>
      </w:pPr>
      <w:r>
        <w:t xml:space="preserve">[27] Vehicle Washing Development Team,</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 2026.</w:t>
      </w:r>
    </w:p>
    <w:p>
      <w:pPr>
        <w:pStyle w:val="BodyText"/>
      </w:pPr>
      <w:r>
        <w:t xml:space="preserve">[28] B. E. Patiño Cabrera, J. C. Guilombo Osorio and M. Urbano, “Software Implementation Procedure: Vehicle Washing Management System (Vehicle Washing),” version 2.4, unpublished document, Servicio Nacional de Aprendizaje, 2026.</w:t>
      </w:r>
    </w:p>
    <w:bookmarkEnd w:id="105"/>
    <w:bookmarkStart w:id="107" w:name="appendix"/>
    <w:p>
      <w:pPr>
        <w:pStyle w:val="Heading2"/>
      </w:pPr>
      <w:r>
        <w:t xml:space="preserve">Appendix</w:t>
      </w:r>
    </w:p>
    <w:bookmarkStart w:id="106"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r>
        <w:br/>
      </w:r>
      <w:r>
        <w:rPr>
          <w:i/>
          <w:iCs/>
        </w:rP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V reports only what was run</w:t>
            </w:r>
          </w:p>
        </w:tc>
      </w:tr>
    </w:tbl>
    <w:p>
      <w:pPr>
        <w:pStyle w:val="BodyText"/>
      </w:pPr>
      <w:r>
        <w:rPr>
          <w:i/>
          <w:iCs/>
        </w:rPr>
        <w:t xml:space="preserve">Note.</w:t>
      </w:r>
      <w:r>
        <w:t xml:space="preserve"> </w:t>
      </w:r>
      <w:r>
        <w:t xml:space="preserve">Prepared by the authors from the review of the project folders.</w:t>
      </w:r>
    </w:p>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hyperlink" Id="rId57" Target="http://www.secretariasenado.gov.co/senado/basedoc/ley_1581_2012.html" TargetMode="External" /><Relationship Type="http://schemas.openxmlformats.org/officeDocument/2006/relationships/hyperlink" Id="rId58" Target="https://alistair.cockburn.us/hexagonal-architecture/" TargetMode="External" /><Relationship Type="http://schemas.openxmlformats.org/officeDocument/2006/relationships/hyperlink" Id="rId63" Target="https://cognitect.com/blog/2011/11/15/documenting-architecture-decisions" TargetMode="External" /><Relationship Type="http://schemas.openxmlformats.org/officeDocument/2006/relationships/hyperlink" Id="rId56"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2" Target="https://owasp.org/Top10/" TargetMode="External" /><Relationship Type="http://schemas.openxmlformats.org/officeDocument/2006/relationships/hyperlink" Id="rId64" Target="https://scrumguides.org/scrum-guide.html" TargetMode="External" /><Relationship Type="http://schemas.openxmlformats.org/officeDocument/2006/relationships/hyperlink" Id="rId61" Target="https://www.rfc-editor.org/rfc/rfc7519" TargetMode="External" /><Relationship Type="http://schemas.openxmlformats.org/officeDocument/2006/relationships/hyperlink" Id="rId60"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7" Target="http://www.secretariasenado.gov.co/senado/basedoc/ley_1581_2012.html" TargetMode="External" /><Relationship Type="http://schemas.openxmlformats.org/officeDocument/2006/relationships/hyperlink" Id="rId58" Target="https://alistair.cockburn.us/hexagonal-architecture/" TargetMode="External" /><Relationship Type="http://schemas.openxmlformats.org/officeDocument/2006/relationships/hyperlink" Id="rId63" Target="https://cognitect.com/blog/2011/11/15/documenting-architecture-decisions" TargetMode="External" /><Relationship Type="http://schemas.openxmlformats.org/officeDocument/2006/relationships/hyperlink" Id="rId56" Target="https://github.com/code-sena/vehicle-w-docs" TargetMode="External" /><Relationship Type="http://schemas.openxmlformats.org/officeDocument/2006/relationships/hyperlink" Id="rId59" Target="https://ics.uci.edu/~fielding/pubs/dissertation/top.htm" TargetMode="External" /><Relationship Type="http://schemas.openxmlformats.org/officeDocument/2006/relationships/hyperlink" Id="rId62" Target="https://owasp.org/Top10/" TargetMode="External" /><Relationship Type="http://schemas.openxmlformats.org/officeDocument/2006/relationships/hyperlink" Id="rId64" Target="https://scrumguides.org/scrum-guide.html" TargetMode="External" /><Relationship Type="http://schemas.openxmlformats.org/officeDocument/2006/relationships/hyperlink" Id="rId61" Target="https://www.rfc-editor.org/rfc/rfc7519" TargetMode="External" /><Relationship Type="http://schemas.openxmlformats.org/officeDocument/2006/relationships/hyperlink" Id="rId60"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2026-10-21T20:39:36Z</dcterms:created>
  <dcterms:modified xsi:type="dcterms:W3CDTF">2026-10-21T20:39:36Z</dcterms:modified>
</cp:coreProperties>
</file>

<file path=docProps/custom.xml><?xml version="1.0" encoding="utf-8"?>
<Properties xmlns="http://schemas.openxmlformats.org/officeDocument/2006/custom-properties" xmlns:vt="http://schemas.openxmlformats.org/officeDocument/2006/docPropsVTypes"/>
</file>