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76.svg" ContentType="image/svg+xml"/>
  <Override PartName="/word/media/rId57.png" ContentType="image/png"/>
  <Override PartName="/word/media/rId31.svg" ContentType="image/svg+xml"/>
  <Override PartName="/word/media/rId76.svg" ContentType="image/svg+xml"/>
  <Override PartName="/word/media/rId57.png" ContentType="image/png"/>
  <Override PartName="/word/media/rId3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Technical Manual (Developers and Software Architects) · Version 4.1</w:t>
      </w:r>
    </w:p>
    <w:bookmarkStart w:id="20"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Test results of October 19, 2026 (655 automated, 19 end-to-end, and 42 functional cases).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22"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24"/>
    <w:bookmarkStart w:id="25"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25"/>
    <w:bookmarkEnd w:id="26"/>
    <w:bookmarkStart w:id="29" w:name="Xe4c7c79ca91d262f6517144b6519cd8b934e356"/>
    <w:p>
      <w:pPr>
        <w:pStyle w:val="Heading2"/>
      </w:pPr>
      <w:r>
        <w:t xml:space="preserve">6. Technical Scope</w:t>
      </w:r>
    </w:p>
    <w:bookmarkStart w:id="27"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27"/>
    <w:bookmarkStart w:id="28"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28"/>
    <w:bookmarkEnd w:id="29"/>
    <w:bookmarkStart w:id="36" w:name="X127d91a012b61252ea4449a5f8c9849e5fd60bc"/>
    <w:p>
      <w:pPr>
        <w:pStyle w:val="Heading2"/>
      </w:pPr>
      <w:r>
        <w:t xml:space="preserve">7. General Description of the System</w:t>
      </w:r>
    </w:p>
    <w:bookmarkStart w:id="30"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30"/>
    <w:bookmarkStart w:id="34"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3667125"/>
            <wp:effectExtent b="0" l="0" r="0" t="0"/>
            <wp:docPr descr="Container diagram of the Vehicle Washing system" title="" id="32" name="Picture"/>
            <a:graphic>
              <a:graphicData uri="http://schemas.openxmlformats.org/drawingml/2006/picture">
                <pic:pic>
                  <pic:nvPicPr>
                    <pic:cNvPr descr="capturas/architectur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57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34"/>
    <w:bookmarkStart w:id="35"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35"/>
    <w:bookmarkEnd w:id="36"/>
    <w:bookmarkStart w:id="37"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w:t>
            </w:r>
          </w:p>
        </w:tc>
        <w:tc>
          <w:tcPr/>
          <w:p>
            <w:pPr>
              <w:pStyle w:val="Compact"/>
            </w:pPr>
            <w:r>
              <w:t xml:space="preserve">Through the Maven Wrapper,</w:t>
            </w:r>
            <w:r>
              <w:t xml:space="preserve"> </w:t>
            </w:r>
            <w:r>
              <w:rPr>
                <w:i/>
                <w:iCs/>
              </w:rPr>
              <w:t xml:space="preserve">dotnet test</w:t>
            </w:r>
            <w:r>
              <w:t xml:space="preserve">, and</w:t>
            </w:r>
            <w:r>
              <w:t xml:space="preserve"> </w:t>
            </w:r>
            <w:r>
              <w:rPr>
                <w:i/>
                <w:iCs/>
              </w:rPr>
              <w:t xml:space="preserve">ng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w:t>
            </w:r>
            <w:r>
              <w:t xml:space="preserve"> </w:t>
            </w:r>
            <w:r>
              <w:rPr>
                <w:i/>
                <w:iCs/>
              </w:rPr>
              <w:t xml:space="preserve">develop</w:t>
            </w:r>
            <w:r>
              <w:t xml:space="preserve">, and</w:t>
            </w:r>
            <w:r>
              <w:t xml:space="preserve"> </w:t>
            </w:r>
            <w:r>
              <w:rPr>
                <w:i/>
                <w:iCs/>
              </w:rPr>
              <w:t xml:space="preserve">feature/*</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manual deployment to Azure</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37"/>
    <w:bookmarkStart w:id="50" w:name="X50d37b585c6338653c7f2b86f9da20dc6f7a5ef"/>
    <w:p>
      <w:pPr>
        <w:pStyle w:val="Heading2"/>
      </w:pPr>
      <w:r>
        <w:t xml:space="preserve">9. System Architecture</w:t>
      </w:r>
    </w:p>
    <w:bookmarkStart w:id="38"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57 tables, checked with a query to</w:t>
      </w:r>
      <w:r>
        <w:t xml:space="preserve"> </w:t>
      </w:r>
      <w:r>
        <w:rPr>
          <w:i/>
          <w:iCs/>
        </w:rPr>
        <w:t xml:space="preserve">sys.tables</w:t>
      </w:r>
      <w:r>
        <w:t xml:space="preserve"> </w:t>
      </w:r>
      <w:r>
        <w:t xml:space="preserve">on October 16, 2026. Source: changelogs of each service.</w:t>
      </w:r>
    </w:p>
    <w:bookmarkEnd w:id="38"/>
    <w:bookmarkStart w:id="39"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validate tokens</w:t>
      </w:r>
      <w:r>
        <w:t xml:space="preserve">: each service verifies the JWT itself (ADR-006). It has no database, cache,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39"/>
    <w:bookmarkStart w:id="40"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40"/>
    <w:bookmarkStart w:id="43" w:name="X3f7f3f0ccdce581cdef289cf0895a1506722c84"/>
    <w:p>
      <w:pPr>
        <w:pStyle w:val="Heading3"/>
      </w:pPr>
      <w:r>
        <w:t xml:space="preserve">9.4 Communication Between Components</w:t>
      </w:r>
    </w:p>
    <w:bookmarkStart w:id="41"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and /internal/v1/bookings/{id}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41"/>
    <w:bookmarkStart w:id="42"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42"/>
    <w:bookmarkEnd w:id="43"/>
    <w:bookmarkStart w:id="49" w:name="X4479ba26460b7aeffc05dab8f25968a8e0498fc"/>
    <w:p>
      <w:pPr>
        <w:pStyle w:val="Heading3"/>
      </w:pPr>
      <w:r>
        <w:t xml:space="preserve">9.5 Cross-Cutting Concerns</w:t>
      </w:r>
    </w:p>
    <w:bookmarkStart w:id="44"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44"/>
    <w:bookmarkStart w:id="45"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Each use case opens a local transaction that only writes the schemas of its own service; there are no distributed transactions.</w:t>
      </w:r>
    </w:p>
    <w:bookmarkEnd w:id="45"/>
    <w:bookmarkStart w:id="46"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Authentication absent, invalid, or expired.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46"/>
    <w:bookmarkStart w:id="47"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47"/>
    <w:bookmarkStart w:id="48"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48"/>
    <w:bookmarkEnd w:id="49"/>
    <w:bookmarkEnd w:id="50"/>
    <w:bookmarkStart w:id="56" w:name="Xf117f3c14160e8561f2aa9d1e4daf75a65112f3"/>
    <w:p>
      <w:pPr>
        <w:pStyle w:val="Heading2"/>
      </w:pPr>
      <w:r>
        <w:t xml:space="preserve">10. Project Structure</w:t>
      </w:r>
    </w:p>
    <w:bookmarkStart w:id="51"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51"/>
    <w:bookmarkStart w:id="52"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52"/>
    <w:bookmarkStart w:id="53"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bookmarkEnd w:id="54"/>
    <w:bookmarkStart w:id="55" w:name="Xecdc608ce1eb031125fd30840448db02933cc07"/>
    <w:p>
      <w:pPr>
        <w:pStyle w:val="Heading3"/>
      </w:pPr>
      <w:r>
        <w:t xml:space="preserve">10.5 Structure of the Mobile Application</w:t>
      </w:r>
    </w:p>
    <w:p>
      <w:pPr>
        <w:pStyle w:val="FirstParagraph"/>
      </w:pPr>
      <w:r>
        <w:t xml:space="preserve">The mobile application is organized in</w:t>
      </w:r>
      <w:r>
        <w:t xml:space="preserve"> </w:t>
      </w:r>
      <w:r>
        <w:rPr>
          <w:i/>
          <w:iCs/>
        </w:rPr>
        <w:t xml:space="preserve">src/modules</w:t>
      </w:r>
      <w:r>
        <w:t xml:space="preserve"> </w:t>
      </w:r>
      <w:r>
        <w:t xml:space="preserve">by role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and</w:t>
      </w:r>
      <w:r>
        <w:t xml:space="preserve"> </w:t>
      </w:r>
      <w:r>
        <w:rPr>
          <w:i/>
          <w:iCs/>
        </w:rPr>
        <w:t xml:space="preserve">admin</w:t>
      </w:r>
      <w:r>
        <w:t xml:space="preserve">, each with its</w:t>
      </w:r>
      <w:r>
        <w:t xml:space="preserve"> </w:t>
      </w:r>
      <w:r>
        <w:rPr>
          <w:i/>
          <w:iCs/>
        </w:rPr>
        <w:t xml:space="preserve">screens</w:t>
      </w:r>
      <w:r>
        <w:t xml:space="preserve">),</w:t>
      </w:r>
      <w:r>
        <w:t xml:space="preserve"> </w:t>
      </w:r>
      <w:r>
        <w:rPr>
          <w:i/>
          <w:iCs/>
        </w:rPr>
        <w:t xml:space="preserve">src/shared</w:t>
      </w:r>
      <w:r>
        <w:t xml:space="preserve"> </w:t>
      </w:r>
      <w:r>
        <w:t xml:space="preserve">(components and shared screens of notifications, profile, and settings), and</w:t>
      </w:r>
      <w:r>
        <w:t xml:space="preserve"> </w:t>
      </w:r>
      <w:r>
        <w:rPr>
          <w:i/>
          <w:iCs/>
        </w:rPr>
        <w:t xml:space="preserve">src/app/config/locales</w:t>
      </w:r>
      <w:r>
        <w:t xml:space="preserve"> </w:t>
      </w:r>
      <w:r>
        <w:t xml:space="preserve">(es, en, fr, and pt). All the calls go to the gateway through</w:t>
      </w:r>
      <w:r>
        <w:t xml:space="preserve"> </w:t>
      </w:r>
      <w:r>
        <w:rPr>
          <w:i/>
          <w:iCs/>
        </w:rPr>
        <w:t xml:space="preserve">EXPO_PUBLIC_API_URL</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bookmarkEnd w:id="55"/>
    <w:bookmarkEnd w:id="56"/>
    <w:bookmarkStart w:id="68"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57 tables.</w:t>
      </w:r>
    </w:p>
    <w:bookmarkStart w:id="60"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f73ab5413e7306da91dfde66a5d56a3af081505"/>
    <w:p>
      <w:pPr>
        <w:pStyle w:val="Heading3"/>
      </w:pPr>
      <w:r>
        <w:t xml:space="preserve">11.2 Main Tables</w:t>
      </w:r>
    </w:p>
    <w:bookmarkStart w:id="61"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61"/>
    <w:bookmarkStart w:id="62"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62"/>
    <w:bookmarkStart w:id="63"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63"/>
    <w:bookmarkEnd w:id="64"/>
    <w:bookmarkStart w:id="65"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and 037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types (customer, staff, payment, loyalty, inspection, unassigned booking, new app version,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65"/>
    <w:bookmarkStart w:id="66"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Only the assigned operator starts or finishes; only on the day of the booking; one service at a time.</w:t>
            </w:r>
          </w:p>
        </w:tc>
        <w:tc>
          <w:tcPr/>
          <w:p>
            <w:pPr>
              <w:pStyle w:val="Compact"/>
            </w:pPr>
            <w:r>
              <w:t xml:space="preserve">operations-service.</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66"/>
    <w:bookmarkStart w:id="67"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to 109 seeds), except in payment-service, which uses its own numbering 001 to 020 (TD-019). The global high-water mark is 030; the next shared changeset is 031. The list of changelogs of each service is in the Installation Manual, section 11.2.</w:t>
      </w:r>
    </w:p>
    <w:bookmarkEnd w:id="67"/>
    <w:bookmarkEnd w:id="68"/>
    <w:bookmarkStart w:id="80" w:name="X5c32ff9b3a1187d904e9a9528f7a864f9c0fb1e"/>
    <w:p>
      <w:pPr>
        <w:pStyle w:val="Heading2"/>
      </w:pPr>
      <w:r>
        <w:t xml:space="preserve">12. Technical Modules</w:t>
      </w:r>
    </w:p>
    <w:bookmarkStart w:id="69"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69"/>
    <w:bookmarkStart w:id="70"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70"/>
    <w:bookmarkStart w:id="71"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w:t>
      </w:r>
      <w:r>
        <w:t xml:space="preserve"> </w:t>
      </w:r>
      <w:r>
        <w:rPr>
          <w:b/>
          <w:bCs/>
        </w:rPr>
        <w:t xml:space="preserve">Events:</w:t>
      </w:r>
      <w:r>
        <w:t xml:space="preserve"> </w:t>
      </w:r>
      <w:r>
        <w:t xml:space="preserve">publishes BookingConfirmed (created or rescheduled) and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and InspectionShared.</w:t>
      </w:r>
    </w:p>
    <w:bookmarkEnd w:id="72"/>
    <w:bookmarkStart w:id="73"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reported by the customer goes directly to IN_REVIEW with the declared amount; a reused transaction reference is rejected;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bookmarkEnd w:id="73"/>
    <w:bookmarkStart w:id="74"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74"/>
    <w:bookmarkStart w:id="75"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w:t>
      </w:r>
    </w:p>
    <w:bookmarkEnd w:id="75"/>
    <w:bookmarkStart w:id="79"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2580967"/>
            <wp:effectExtent b="0" l="0" r="0" t="0"/>
            <wp:docPr descr="State diagram of the booking" title="" id="77" name="Picture"/>
            <a:graphic>
              <a:graphicData uri="http://schemas.openxmlformats.org/drawingml/2006/picture">
                <pic:pic>
                  <pic:nvPicPr>
                    <pic:cNvPr descr="capturas/booking-state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p>
    <w:bookmarkEnd w:id="79"/>
    <w:bookmarkEnd w:id="80"/>
    <w:bookmarkStart w:id="87"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81"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81"/>
    <w:bookmarkStart w:id="82"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before its expiration (Jones et al., 2015); logout only closes the session record. Every service validates the signature, the issuer, and the audience with the same secret.</w:t>
      </w:r>
    </w:p>
    <w:bookmarkEnd w:id="82"/>
    <w:bookmarkStart w:id="84"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receipt;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83"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83"/>
    <w:bookmarkEnd w:id="84"/>
    <w:bookmarkStart w:id="85"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(bound)</w:t>
            </w:r>
          </w:p>
        </w:tc>
        <w:tc>
          <w:tcPr/>
          <w:p>
            <w:pPr>
              <w:pStyle w:val="Compact"/>
            </w:pPr>
            <w:r>
              <w:t xml:space="preserve">Not published</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w:t>
      </w:r>
    </w:p>
    <w:bookmarkEnd w:id="85"/>
    <w:bookmarkStart w:id="86"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w:t>
      </w:r>
    </w:p>
    <w:bookmarkEnd w:id="86"/>
    <w:bookmarkEnd w:id="87"/>
    <w:bookmarkStart w:id="95"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88"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w:t>
            </w:r>
          </w:p>
        </w:tc>
      </w:tr>
      <w:tr>
        <w:tc>
          <w:tcPr/>
          <w:p>
            <w:pPr>
              <w:pStyle w:val="Compact"/>
            </w:pPr>
            <w:r>
              <w:t xml:space="preserve">Revocation</w:t>
            </w:r>
          </w:p>
        </w:tc>
        <w:tc>
          <w:tcPr/>
          <w:p>
            <w:pPr>
              <w:pStyle w:val="Compact"/>
            </w:pPr>
            <w:r>
              <w:t xml:space="preserve">A token remains valid until it expires (accepted risk of ADR-006).</w:t>
            </w:r>
          </w:p>
        </w:tc>
      </w:tr>
    </w:tbl>
    <w:p>
      <w:pPr>
        <w:pStyle w:val="BodyText"/>
      </w:pPr>
      <w:r>
        <w:rPr>
          <w:i/>
          <w:iCs/>
        </w:rPr>
        <w:t xml:space="preserve">Note.</w:t>
      </w:r>
      <w:r>
        <w:t xml:space="preserve"> </w:t>
      </w:r>
      <w:r>
        <w:t xml:space="preserve">Source: configuration and code of security-service and ADR-006.</w:t>
      </w:r>
    </w:p>
    <w:bookmarkEnd w:id="88"/>
    <w:bookmarkStart w:id="89"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89"/>
    <w:bookmarkStart w:id="90"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90"/>
    <w:bookmarkStart w:id="91"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91"/>
    <w:bookmarkStart w:id="92"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pending in deployment)</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temporary lockout after failed attempts; no rate limit in the gateway.</w:t>
            </w:r>
          </w:p>
        </w:tc>
        <w:tc>
          <w:tcPr/>
          <w:p>
            <w:pPr>
              <w:pStyle w:val="Compact"/>
            </w:pPr>
            <w:r>
              <w:t xml:space="preserve">Partial</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92"/>
    <w:bookmarkStart w:id="93"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93"/>
    <w:bookmarkStart w:id="94" w:name="X8982c98621bb30649b1c9a48a98f28f4fff572f"/>
    <w:p>
      <w:pPr>
        <w:pStyle w:val="Heading3"/>
      </w:pPr>
      <w:r>
        <w:t xml:space="preserve">14.7 Accepted Risks</w:t>
      </w:r>
    </w:p>
    <w:p>
      <w:pPr>
        <w:pStyle w:val="Compact"/>
        <w:numPr>
          <w:ilvl w:val="0"/>
          <w:numId w:val="1023"/>
        </w:numPr>
      </w:pPr>
      <w:r>
        <w:t xml:space="preserve">Impossibility of revoking a JWT before its expiration.</w:t>
      </w:r>
    </w:p>
    <w:p>
      <w:pPr>
        <w:pStyle w:val="Compact"/>
        <w:numPr>
          <w:ilvl w:val="0"/>
          <w:numId w:val="1023"/>
        </w:numPr>
      </w:pPr>
      <w:r>
        <w:t xml:space="preserve">Symmetric HS256 signature with a secret shared among services.</w:t>
      </w:r>
    </w:p>
    <w:p>
      <w:pPr>
        <w:pStyle w:val="Compact"/>
        <w:numPr>
          <w:ilvl w:val="0"/>
          <w:numId w:val="1023"/>
        </w:numPr>
      </w:pPr>
      <w:r>
        <w:t xml:space="preserve">No rate limit in the gateway; account lockout only slows down attempts against a single account.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94"/>
    <w:bookmarkEnd w:id="95"/>
    <w:bookmarkStart w:id="99" w:name="X54afc8e0cb879c45eaf2360ca9a29f5123d9888"/>
    <w:p>
      <w:pPr>
        <w:pStyle w:val="Heading2"/>
      </w:pPr>
      <w:r>
        <w:t xml:space="preserve">15. Version Control</w:t>
      </w:r>
    </w:p>
    <w:bookmarkStart w:id="96"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 </w:t>
      </w:r>
      <w:r>
        <w:t xml:space="preserve">or</w:t>
      </w:r>
      <w:r>
        <w:t xml:space="preserve"> </w:t>
      </w:r>
      <w:r>
        <w:rPr>
          <w:i/>
          <w:iCs/>
        </w:rPr>
        <w:t xml:space="preserve">feat/*</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and, at the time of this review, is behind</w:t>
      </w:r>
      <w:r>
        <w:t xml:space="preserve"> </w:t>
      </w:r>
      <w:r>
        <w:rPr>
          <w:i/>
          <w:iCs/>
        </w:rPr>
        <w:t xml:space="preserve">develop</w:t>
      </w:r>
      <w:r>
        <w:t xml:space="preserve"> </w:t>
      </w:r>
      <w:r>
        <w:t xml:space="preserve">in the backend services.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96"/>
    <w:bookmarkStart w:id="97"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97"/>
    <w:bookmarkStart w:id="98"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98"/>
    <w:bookmarkEnd w:id="99"/>
    <w:bookmarkStart w:id="108" w:name="X4c1df4a4a625ad942e59c57f37348aaf381b36d"/>
    <w:p>
      <w:pPr>
        <w:pStyle w:val="Heading2"/>
      </w:pPr>
      <w:r>
        <w:t xml:space="preserve">16. Maintenance Recommendations</w:t>
      </w:r>
    </w:p>
    <w:bookmarkStart w:id="100"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100"/>
    <w:bookmarkStart w:id="101"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w:t>
      </w:r>
    </w:p>
    <w:bookmarkEnd w:id="101"/>
    <w:bookmarkStart w:id="102"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102"/>
    <w:bookmarkStart w:id="103"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040.</w:t>
      </w:r>
    </w:p>
    <w:p>
      <w:pPr>
        <w:pStyle w:val="Compact"/>
        <w:numPr>
          <w:ilvl w:val="0"/>
          <w:numId w:val="1025"/>
        </w:numPr>
      </w:pPr>
      <w:r>
        <w:t xml:space="preserve">Back up the database before deploying a service that adds changesets.</w:t>
      </w:r>
    </w:p>
    <w:bookmarkEnd w:id="103"/>
    <w:bookmarkStart w:id="104"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On October 19, 2026, all the tests were run with these results: 655 unit and integration tests passed (web 43, gateway 34, security-service 151, customer-service 69, booking-service 43, operations-service 55, notification-service 112, and payment-service 148, including the 7 persistence tests against an isolated database), 19 of 19 end-to-end tests, and 42 of 42 functional cases passed against the complete system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104"/>
    <w:bookmarkStart w:id="105"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or different JWT_SECRET, issuer, or audience.</w:t>
            </w:r>
          </w:p>
        </w:tc>
        <w:tc>
          <w:tcPr/>
          <w:p>
            <w:pPr>
              <w:pStyle w:val="Compact"/>
            </w:pPr>
            <w:r>
              <w:t xml:space="preserve">Log in again; verify the .env file.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105"/>
    <w:bookmarkStart w:id="106"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w:t>
      </w:r>
    </w:p>
    <w:bookmarkEnd w:id="106"/>
    <w:bookmarkStart w:id="107"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107"/>
    <w:bookmarkEnd w:id="108"/>
    <w:bookmarkStart w:id="109"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it does not validate tokens in this system.</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109"/>
    <w:bookmarkStart w:id="122"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11">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12">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1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1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5">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1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18">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19">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20">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21">
        <w:r>
          <w:rPr>
            <w:rStyle w:val="Hyperlink"/>
          </w:rPr>
          <w:t xml:space="preserve">https://github.com/BrayanCABRERA123/lavarapido-security-service</w:t>
        </w:r>
      </w:hyperlink>
    </w:p>
    <w:bookmarkEnd w:id="122"/>
    <w:bookmarkStart w:id="126" w:name="X0dfec30307d35ad53dd5c24971901dbae401842"/>
    <w:p>
      <w:pPr>
        <w:pStyle w:val="Heading2"/>
      </w:pPr>
      <w:r>
        <w:t xml:space="preserve">18. Annexes</w:t>
      </w:r>
    </w:p>
    <w:bookmarkStart w:id="123"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as they exist. No figure contains secrets or personal data.</w:t>
      </w:r>
    </w:p>
    <w:bookmarkEnd w:id="123"/>
    <w:bookmarkStart w:id="124"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validate tokens; each service does.</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24"/>
    <w:bookmarkStart w:id="125"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svg" /><Relationship Type="http://schemas.openxmlformats.org/officeDocument/2006/relationships/image" Id="rId76" Target="media/rId76.svg" /><Relationship Type="http://schemas.openxmlformats.org/officeDocument/2006/relationships/image" Id="rId57" Target="media/rId57.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7" Target="https://github.com/BrayanCABRERA123/Front-end-proyecto-web" TargetMode="External" /><Relationship Type="http://schemas.openxmlformats.org/officeDocument/2006/relationships/hyperlink" Id="rId119" Target="https://github.com/BrayanCABRERA123/lavarapido-infra" TargetMode="External" /><Relationship Type="http://schemas.openxmlformats.org/officeDocument/2006/relationships/hyperlink" Id="rId121" Target="https://github.com/BrayanCABRERA123/lavarapido-security-service" TargetMode="External" /><Relationship Type="http://schemas.openxmlformats.org/officeDocument/2006/relationships/hyperlink" Id="rId118" Target="https://github.com/camiloguilombo12/lavarapido-customer-service" TargetMode="External" /><Relationship Type="http://schemas.openxmlformats.org/officeDocument/2006/relationships/hyperlink" Id="rId116" Target="https://github.com/code-sena/vehicle-w-docs" TargetMode="External" /><Relationship Type="http://schemas.openxmlformats.org/officeDocument/2006/relationships/hyperlink" Id="rId120" Target="https://github.com/merari0322/lavarapido-payment-service" TargetMode="External" /><Relationship Type="http://schemas.openxmlformats.org/officeDocument/2006/relationships/hyperlink" Id="rId112" Target="https://ics.uci.edu/~fielding/pubs/dissertation/top.htm" TargetMode="External" /><Relationship Type="http://schemas.openxmlformats.org/officeDocument/2006/relationships/hyperlink" Id="rId115" Target="https://owasp.org/Top10/" TargetMode="External" /><Relationship Type="http://schemas.openxmlformats.org/officeDocument/2006/relationships/hyperlink" Id="rId113" Target="https://www.rfc-editor.org/rfc/rfc7519" TargetMode="External" /><Relationship Type="http://schemas.openxmlformats.org/officeDocument/2006/relationships/hyperlink" Id="rId11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2026-10-19T18:36:12Z</dcterms:created>
  <dcterms:modified xsi:type="dcterms:W3CDTF">2026-10-19T18:36:12Z</dcterms:modified>
</cp:coreProperties>
</file>

<file path=docProps/custom.xml><?xml version="1.0" encoding="utf-8"?>
<Properties xmlns="http://schemas.openxmlformats.org/officeDocument/2006/custom-properties" xmlns:vt="http://schemas.openxmlformats.org/officeDocument/2006/docPropsVTypes"/>
</file>