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svg" ContentType="image/svg+xml"/>
  <Override PartName="/word/media/rId38.svg" ContentType="image/svg+xml"/>
  <Override PartName="/word/media/rId91.svg" ContentType="image/svg+xml"/>
  <Override PartName="/word/media/rId42.svg" ContentType="image/svg+xml"/>
  <Override PartName="/word/media/rId87.svg" ContentType="image/svg+xml"/>
  <Override PartName="/word/media/rId38.svg" ContentType="image/svg+xml"/>
  <Override PartName="/word/media/rId91.svg" ContentType="image/svg+xml"/>
  <Override PartName="/word/media/rId42.svg" ContentType="image/svg+xml"/>
  <Override PartName="/word/media/rId87.png" ContentType="image/png"/>
  <Override PartName="/word/media/rId38.png" ContentType="image/png"/>
  <Override PartName="/word/media/rId91.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Regional Huila, Colombia</w:t>
      </w:r>
    </w:p>
    <w:p>
      <w:pPr>
        <w:pStyle w:val="BodyText"/>
      </w:pPr>
      <w:r>
        <w:rPr>
          <w:i/>
          <w:iCs/>
        </w:rPr>
        <w:t xml:space="preserve">Tecnólogo en Análisis y Desarrollo de Software (ADSO), ficha 3145556. Instructora: Karol Daniela Correa. 16 de octubre de 2026.</w:t>
      </w:r>
    </w:p>
    <w:p>
      <w:pPr>
        <w:pStyle w:val="BodyText"/>
      </w:pPr>
      <w:r>
        <w:rPr>
          <w:b/>
          <w:bCs/>
          <w:i/>
          <w:iCs/>
        </w:rPr>
        <w:t xml:space="preserve">Resumen</w:t>
      </w:r>
      <w:r>
        <w:rPr>
          <w:b/>
          <w:bCs/>
        </w:rP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El 19 de octubre de 2026 se ejecutaron 655 pruebas automatizadas, todas aprobadas (incluidas 7 de persistencia contra una base aislada), y 19 pruebas de punta a punta y 42 casos funcionales contra el sistema completo,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b/>
          <w:bCs/>
          <w:i/>
          <w:iCs/>
        </w:rPr>
        <w:t xml:space="preserve">Palabras clave</w:t>
      </w:r>
      <w:r>
        <w:rPr>
          <w:b/>
          <w:bCs/>
        </w:rPr>
        <w:t xml:space="preserve">—microservicios, arquitectura hexagonal, sistema de reservas, lavado vehicular, pagos con código QR, documentación de diseño de software</w:t>
      </w:r>
    </w:p>
    <w:bookmarkStart w:id="24" w:name="i-introducción"/>
    <w:p>
      <w:pPr>
        <w:pStyle w:val="Heading2"/>
      </w:pPr>
      <w:r>
        <w:t xml:space="preserve">I.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a-planteamiento-del-problema"/>
    <w:p>
      <w:pPr>
        <w:pStyle w:val="Heading3"/>
      </w:pPr>
      <w:r>
        <w:t xml:space="preserve">A.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[1].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[2].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[2].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b-justificación"/>
    <w:p>
      <w:pPr>
        <w:pStyle w:val="Heading3"/>
      </w:pPr>
      <w:r>
        <w:t xml:space="preserve">B.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[2].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[3],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c-objetivos"/>
    <w:p>
      <w:pPr>
        <w:pStyle w:val="Heading3"/>
      </w:pPr>
      <w:r>
        <w:t xml:space="preserve">C. Objetivos</w:t>
      </w:r>
    </w:p>
    <w:p>
      <w:pPr>
        <w:pStyle w:val="FirstParagraph"/>
      </w:pPr>
      <w:r>
        <w:t xml:space="preserve">Los objetivos vigentes del proyecto están en la versión 7.0 de la SRS [1].</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d-evolución-del-alcance"/>
    <w:p>
      <w:pPr>
        <w:pStyle w:val="Heading3"/>
      </w:pPr>
      <w:r>
        <w:t xml:space="preserve">D.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[4].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[1].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ii-marco-conceptual"/>
    <w:p>
      <w:pPr>
        <w:pStyle w:val="Heading2"/>
      </w:pPr>
      <w:r>
        <w:t xml:space="preserve">II.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edb14d2cb140a259f1c16a098dc0b2afb63edc8"/>
    <w:p>
      <w:pPr>
        <w:pStyle w:val="Heading3"/>
      </w:pPr>
      <w:r>
        <w:t xml:space="preserve">A.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[5]. Este estilo facilita que cada parte evolucione por separado, pero introduce problemas propios de los sistemas distribuidos, como la consistencia entre servicios y la publicación confiable de eventos, para los que existen patrones como Saga y Outbox [6]. Elegir qué patrones adoptar, y documentar por qué se descartan otros, es parte del diseño.</w:t>
      </w:r>
    </w:p>
    <w:bookmarkEnd w:id="25"/>
    <w:bookmarkStart w:id="26" w:name="Xc3e7aa7bdca69417fc7b7bb95b836cf76634a68"/>
    <w:p>
      <w:pPr>
        <w:pStyle w:val="Heading3"/>
      </w:pPr>
      <w:r>
        <w:t xml:space="preserve">B.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[7]. La arquitectura hexagonal, o de puertos y adaptadores, complementa esa idea: el núcleo de la aplicación no depende de la base de datos, del framework ni de la mensajería, que se conectan mediante adaptadores [8]. La combinación permite probar las reglas del negocio sin infraestructura.</w:t>
      </w:r>
    </w:p>
    <w:bookmarkEnd w:id="26"/>
    <w:bookmarkStart w:id="27" w:name="c-integración-síncrona-y-asíncrona"/>
    <w:p>
      <w:pPr>
        <w:pStyle w:val="Heading3"/>
      </w:pPr>
      <w:r>
        <w:t xml:space="preserve">C. Integración Síncrona y Asíncrona</w:t>
      </w:r>
    </w:p>
    <w:p>
      <w:pPr>
        <w:pStyle w:val="FirstParagraph"/>
      </w:pPr>
      <w:r>
        <w:t xml:space="preserve">Las interfaces externas del sistema siguen el estilo arquitectónico REST [9], y sus errores se expresan con el formato estándar</w:t>
      </w:r>
      <w:r>
        <w:t xml:space="preserve"> </w:t>
      </w:r>
      <w:r>
        <w:rPr>
          <w:i/>
          <w:iCs/>
        </w:rPr>
        <w:t xml:space="preserve">Problem Details for HTTP APIs</w:t>
      </w:r>
      <w:r>
        <w:t xml:space="preserve"> </w:t>
      </w:r>
      <w:r>
        <w:t xml:space="preserve">[10]. Para el trabajo que puede ocurrir después de una transacción, como enviar una notificación, se usa mensajería de publicación y suscripción, en la que un emisor publica un evento sin conocer a sus consumidores [11].</w:t>
      </w:r>
    </w:p>
    <w:bookmarkEnd w:id="27"/>
    <w:bookmarkStart w:id="28" w:name="d-seguridad-de-la-aplicación"/>
    <w:p>
      <w:pPr>
        <w:pStyle w:val="Heading3"/>
      </w:pPr>
      <w:r>
        <w:t xml:space="preserve">D. Seguridad de la Aplicación</w:t>
      </w:r>
    </w:p>
    <w:p>
      <w:pPr>
        <w:pStyle w:val="FirstParagraph"/>
      </w:pPr>
      <w:r>
        <w:t xml:space="preserve">La autenticación sin estado se apoya en JSON Web Tokens (JWT), tokens firmados que transportan la identidad y los roles de la persona usuaria [12]. Las contraseñas se almacenan con BCrypt, una función de derivación con costo ajustable [13]. La lista OWASP Top 10 sirve como referencia para revisar los riesgos más comunes de las aplicaciones web [14].</w:t>
      </w:r>
    </w:p>
    <w:bookmarkEnd w:id="28"/>
    <w:bookmarkStart w:id="29" w:name="e-gestión-de-la-calidad-del-software"/>
    <w:p>
      <w:pPr>
        <w:pStyle w:val="Heading3"/>
      </w:pPr>
      <w:r>
        <w:t xml:space="preserve">E. Gestión de la Calidad del Software</w:t>
      </w:r>
    </w:p>
    <w:p>
      <w:pPr>
        <w:pStyle w:val="FirstParagraph"/>
      </w:pPr>
      <w:r>
        <w:t xml:space="preserve">El proyecto toma como marco de sus acciones correctivas, preventivas y de mejora los procesos de mantenimiento y aseguramiento de la calidad de la ISO/IEC/IEEE 12207 [15], los tipos de mantenimiento de la ISO/IEC/IEEE 14764 [16] y la mejora continua de la ISO 9001 [17].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[18], y las pruebas se escriben siguiendo el desarrollo guiado por pruebas [19]. La investigación sobre desempeño en la entrega de software asocia la integración continua y la automatización de pruebas con mejores resultados de entrega [20].</w:t>
      </w:r>
    </w:p>
    <w:bookmarkEnd w:id="29"/>
    <w:bookmarkEnd w:id="30"/>
    <w:bookmarkStart w:id="37" w:name="iii-método"/>
    <w:p>
      <w:pPr>
        <w:pStyle w:val="Heading2"/>
      </w:pPr>
      <w:r>
        <w:t xml:space="preserve">III. Método</w:t>
      </w:r>
    </w:p>
    <w:bookmarkStart w:id="31" w:name="a-tipo-de-estudio"/>
    <w:p>
      <w:pPr>
        <w:pStyle w:val="Heading3"/>
      </w:pPr>
      <w:r>
        <w:t xml:space="preserve">A.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[21], [22]. La SRS, en su versión 7.0, sigue la estructura de IEEE 830 [23] y los contenidos de ISO/IEC/IEEE 29148 [24], y define 41 requisitos funcionales, 12 requisitos no funcionales clasificados según el modelo de calidad de ISO/IEC 25010 [25], 32 casos de uso y una matriz de trazabilidad con el estado de cada requisito [1].</w:t>
      </w:r>
    </w:p>
    <w:bookmarkEnd w:id="31"/>
    <w:bookmarkStart w:id="32" w:name="b-contexto-y-participantes"/>
    <w:p>
      <w:pPr>
        <w:pStyle w:val="Heading3"/>
      </w:pPr>
      <w:r>
        <w:t xml:space="preserve">B.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[2].</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[2] (véase el Apéndice).</w:t>
      </w:r>
    </w:p>
    <w:bookmarkEnd w:id="32"/>
    <w:bookmarkStart w:id="33" w:name="c-proceso-de-desarrollo"/>
    <w:p>
      <w:pPr>
        <w:pStyle w:val="Heading3"/>
      </w:pPr>
      <w:r>
        <w:t xml:space="preserve">C.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[2].</w:t>
      </w:r>
    </w:p>
    <w:p>
      <w:pPr>
        <w:pStyle w:val="BodyText"/>
      </w:pPr>
      <w:r>
        <w:t xml:space="preserve">La gestión del trabajo adaptó prácticas de Scrum [26] al calendario académico. La instructora técnica actuó como</w:t>
      </w:r>
      <w:r>
        <w:t xml:space="preserve"> </w:t>
      </w:r>
      <w:r>
        <w:rPr>
          <w:i/>
          <w:iCs/>
        </w:rPr>
        <w:t xml:space="preserve">Product Owner</w:t>
      </w:r>
      <w:r>
        <w:t xml:space="preserve"> </w:t>
      </w:r>
      <w:r>
        <w:t xml:space="preserve">y aprobaron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[27].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c6feb21c9fb2f2d8888f0f741365a694a9af6b4"/>
    <w:p>
      <w:pPr>
        <w:pStyle w:val="Heading3"/>
      </w:pPr>
      <w:r>
        <w:t xml:space="preserve">D.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[22].</w:t>
      </w:r>
    </w:p>
    <w:p>
      <w:pPr>
        <w:pStyle w:val="Compact"/>
        <w:numPr>
          <w:ilvl w:val="0"/>
          <w:numId w:val="1002"/>
        </w:numPr>
      </w:pPr>
      <w:r>
        <w:t xml:space="preserve">Un registro de acciones correctivas, preventivas y de mejoramiento con análisis de causa raíz e indicadores de seguimiento [21].</w:t>
      </w:r>
    </w:p>
    <w:p>
      <w:pPr>
        <w:pStyle w:val="Compact"/>
        <w:numPr>
          <w:ilvl w:val="0"/>
          <w:numId w:val="1002"/>
        </w:numPr>
      </w:pPr>
      <w:r>
        <w:t xml:space="preserve">Una lista de casos de prueba de aceptación (CA-01 a CA-16) definida en el procedimiento de implementación [28].</w:t>
      </w:r>
    </w:p>
    <w:bookmarkEnd w:id="34"/>
    <w:bookmarkStart w:id="35" w:name="e-herramientas"/>
    <w:p>
      <w:pPr>
        <w:pStyle w:val="Heading3"/>
      </w:pPr>
      <w:r>
        <w:t xml:space="preserve">E. Herramientas</w:t>
      </w:r>
    </w:p>
    <w:p>
      <w:pPr>
        <w:pStyle w:val="FirstParagraph"/>
      </w:pPr>
      <w:r>
        <w:t xml:space="preserve">La Tabla I resume la pila tecnológica, tomada de los archivos de construcción de cada repositorio.</w:t>
      </w:r>
    </w:p>
    <w:p>
      <w:pPr>
        <w:pStyle w:val="BodyText"/>
      </w:pPr>
      <w:r>
        <w:rPr>
          <w:b/>
          <w:bCs/>
        </w:rPr>
        <w:t xml:space="preserve">TABLA I</w:t>
      </w:r>
      <w:r>
        <w:br/>
      </w: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[22]. La integración continua se hace con GitHub Actions en los 10 repositorios.</w:t>
      </w:r>
    </w:p>
    <w:bookmarkEnd w:id="35"/>
    <w:bookmarkStart w:id="36" w:name="f-procedimiento-de-análisis"/>
    <w:p>
      <w:pPr>
        <w:pStyle w:val="Heading3"/>
      </w:pPr>
      <w:r>
        <w:t xml:space="preserve">F. Procedimiento de Análisis</w:t>
      </w:r>
    </w:p>
    <w:p>
      <w:pPr>
        <w:pStyle w:val="FirstParagraph"/>
      </w:pPr>
      <w:r>
        <w:t xml:space="preserve">El estado de los requisitos se tomó de la matriz de trazabilidad de la SRS, verificada contra el código el 16 de octubre de 2026 [1]. Las pruebas se volvieron a ejecutar el 19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y los 42 casos funcionales contra el sistema completo.</w:t>
      </w:r>
    </w:p>
    <w:bookmarkEnd w:id="36"/>
    <w:bookmarkEnd w:id="37"/>
    <w:bookmarkStart w:id="52" w:name="iv-resultados"/>
    <w:p>
      <w:pPr>
        <w:pStyle w:val="Heading2"/>
      </w:pPr>
      <w:r>
        <w:t xml:space="preserve">IV. Resultados</w:t>
      </w:r>
    </w:p>
    <w:bookmarkStart w:id="41" w:name="a-arquitectura-implementada"/>
    <w:p>
      <w:pPr>
        <w:pStyle w:val="Heading3"/>
      </w:pPr>
      <w:r>
        <w:t xml:space="preserve">A. Arquitectura Implementada</w:t>
      </w:r>
    </w:p>
    <w:p>
      <w:pPr>
        <w:pStyle w:val="FirstParagraph"/>
      </w:pPr>
      <w:r>
        <w:t xml:space="preserve">El backend quedó compuesto por seis microservicios de dominio detrás de un API Gateway (Fig.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[22].</w:t>
      </w:r>
    </w:p>
    <w:p>
      <w:pPr>
        <w:pStyle w:val="BodyText"/>
      </w:pPr>
      <w:r>
        <w:drawing>
          <wp:inline>
            <wp:extent cx="5334000" cy="3667125"/>
            <wp:effectExtent b="0" l="0" r="0" t="0"/>
            <wp:docPr descr="Diagrama de Contenedores del Sistema" title="" id="39" name="Picture"/>
            <a:graphic>
              <a:graphicData uri="http://schemas.openxmlformats.org/drawingml/2006/picture">
                <pic:pic>
                  <pic:nvPicPr>
                    <pic:cNvPr descr="capturas/arquitectura_e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Diagrama de Contenedores del Sistema</w:t>
      </w:r>
    </w:p>
    <w:p>
      <w:pPr>
        <w:pStyle w:val="BodyText"/>
      </w:pPr>
      <w:r>
        <w:rPr>
          <w:i/>
          <w:iCs/>
        </w:rPr>
        <w:t xml:space="preserve">Nota.</w:t>
      </w:r>
      <w:r>
        <w:t xml:space="preserve"> </w:t>
      </w:r>
      <w:r>
        <w:t xml:space="preserve">Adaptado del manual técnico [22],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II muestra la distribución resultante.</w:t>
      </w:r>
    </w:p>
    <w:p>
      <w:pPr>
        <w:pStyle w:val="BodyText"/>
      </w:pPr>
      <w:r>
        <w:rPr>
          <w:b/>
          <w:bCs/>
        </w:rPr>
        <w:t xml:space="preserve">TABLA II</w:t>
      </w:r>
      <w:r>
        <w:br/>
      </w: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[22].</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once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[22].</w:t>
      </w:r>
    </w:p>
    <w:bookmarkEnd w:id="41"/>
    <w:bookmarkStart w:id="45" w:name="X9f7f98e13bd7061ed70cb283493d71942e45e65"/>
    <w:p>
      <w:pPr>
        <w:pStyle w:val="Heading3"/>
      </w:pPr>
      <w:r>
        <w:t xml:space="preserve">B. Reglas del Negocio e Integridad de los Datos</w:t>
      </w:r>
    </w:p>
    <w:p>
      <w:pPr>
        <w:pStyle w:val="FirstParagraph"/>
      </w:pPr>
      <w:r>
        <w:t xml:space="preserve">Las reglas más críticas no dependen solo del código de la aplicación, sino que se garantizan también en la base de datos (Tabla III).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III</w:t>
      </w:r>
      <w:r>
        <w:br/>
      </w: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[22].</w:t>
      </w:r>
    </w:p>
    <w:p>
      <w:pPr>
        <w:pStyle w:val="BodyText"/>
      </w:pPr>
      <w:r>
        <w:t xml:space="preserve">La reserva, la asignación y el pago tienen ciclos de vida independientes, de modo que una reserva confirmada no hace parecer aprobado un pago pendiente. La Fig. 2 muestra el ciclo de vida de la reserva; el pago recorre los estados PENDING, IN_REVIEW, APPROVED o REJECTED, y un pago aprobado puede pasar a REFUNDED.</w:t>
      </w:r>
    </w:p>
    <w:p>
      <w:pPr>
        <w:pStyle w:val="BodyText"/>
      </w:pPr>
      <w:r>
        <w:drawing>
          <wp:inline>
            <wp:extent cx="5334000" cy="2580967"/>
            <wp:effectExtent b="0" l="0" r="0" t="0"/>
            <wp:docPr descr="Diagrama de Estados de la Reserva" title="" id="43" name="Picture"/>
            <a:graphic>
              <a:graphicData uri="http://schemas.openxmlformats.org/drawingml/2006/picture">
                <pic:pic>
                  <pic:nvPicPr>
                    <pic:cNvPr descr="capturas/estados_reserva_es.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Diagrama de Estados de la Reserva</w:t>
      </w:r>
    </w:p>
    <w:p>
      <w:pPr>
        <w:pStyle w:val="BodyText"/>
      </w:pPr>
      <w:r>
        <w:rPr>
          <w:i/>
          <w:iCs/>
        </w:rPr>
        <w:t xml:space="preserve">Nota.</w:t>
      </w:r>
      <w:r>
        <w:t xml:space="preserve"> </w:t>
      </w:r>
      <w:r>
        <w:t xml:space="preserve">Los estados en gris son finales. Tomado del manual técnico [22], con las etiquetas traducidas.</w:t>
      </w:r>
    </w:p>
    <w:bookmarkEnd w:id="45"/>
    <w:bookmarkStart w:id="46" w:name="Xbf90f9ede9535803f14e3051ad346f686ff0390"/>
    <w:p>
      <w:pPr>
        <w:pStyle w:val="Heading3"/>
      </w:pPr>
      <w:r>
        <w:t xml:space="preserve">C.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IV resume su estado al 16 de octubre de 2026: 40 implementados (98 %) y 1 parcial.</w:t>
      </w:r>
    </w:p>
    <w:p>
      <w:pPr>
        <w:pStyle w:val="BodyText"/>
      </w:pPr>
      <w:r>
        <w:rPr>
          <w:b/>
          <w:bCs/>
        </w:rPr>
        <w:t xml:space="preserve">TABLA IV</w:t>
      </w:r>
      <w:r>
        <w:br/>
      </w:r>
      <w:r>
        <w:rPr>
          <w:i/>
          <w:iCs/>
        </w:rP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7.0 [1].</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[1].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d-resultados-de-las-pruebas"/>
    <w:p>
      <w:pPr>
        <w:pStyle w:val="Heading3"/>
      </w:pPr>
      <w:r>
        <w:t xml:space="preserve">D. Resultados de las Pruebas</w:t>
      </w:r>
    </w:p>
    <w:p>
      <w:pPr>
        <w:pStyle w:val="FirstParagraph"/>
      </w:pPr>
      <w:r>
        <w:t xml:space="preserve">El 19 de octubre de 2026 se ejecutaron todas las suites automatizadas: 655 pruebas aprobadas, ninguna fallida ni omitida; las 7 pruebas de persistencia de payment-service corrieron contra una base de pruebas aislada (Tabla V).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La SRS registraba 347 pruebas el 6 de octubre [1]; la diferencia corresponde a las pruebas que se agregaron con cada función nueva.</w:t>
      </w:r>
    </w:p>
    <w:p>
      <w:pPr>
        <w:pStyle w:val="BodyText"/>
      </w:pPr>
      <w:r>
        <w:rPr>
          <w:b/>
          <w:bCs/>
        </w:rPr>
        <w:t xml:space="preserve">TABLA V</w:t>
      </w:r>
      <w:r>
        <w:br/>
      </w:r>
      <w:r>
        <w:rPr>
          <w:i/>
          <w:iCs/>
        </w:rPr>
        <w:t xml:space="preserve">Resultados de la Ejecución de las Pruebas Automatizadas (19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e-seguridad"/>
    <w:p>
      <w:pPr>
        <w:pStyle w:val="Heading3"/>
      </w:pPr>
      <w:r>
        <w:t xml:space="preserve">E. Seguridad</w:t>
      </w:r>
    </w:p>
    <w:p>
      <w:pPr>
        <w:pStyle w:val="FirstParagraph"/>
      </w:pPr>
      <w:r>
        <w:t xml:space="preserve">La Tabla VI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VI</w:t>
      </w:r>
      <w:r>
        <w:br/>
      </w: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[14], [22].</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[3]. La opción del perfil que se llamaba "Eliminar cuenta" pasó a llamarse "Desactivar mi cuenta", porque la cuenta se desactiva y su historial se conserva.</w:t>
      </w:r>
    </w:p>
    <w:bookmarkEnd w:id="48"/>
    <w:bookmarkStart w:id="49" w:name="f-gestión-de-defectos-y-mejora-continua"/>
    <w:p>
      <w:pPr>
        <w:pStyle w:val="Heading3"/>
      </w:pPr>
      <w:r>
        <w:t xml:space="preserve">F. 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[21].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[22]. La revisión del 16 de octubre de 2026 cerró las que seguían abiertas y llevó los manuales a la versión 4.0, con capturas reales del sistema.</w:t>
      </w:r>
    </w:p>
    <w:bookmarkEnd w:id="49"/>
    <w:bookmarkStart w:id="50" w:name="g-costos"/>
    <w:p>
      <w:pPr>
        <w:pStyle w:val="Heading3"/>
      </w:pPr>
      <w:r>
        <w:t xml:space="preserve">G.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[4], distribuidos como muestra la Tabla VII. El 79 % del costo corresponde al recurso humano.</w:t>
      </w:r>
    </w:p>
    <w:p>
      <w:pPr>
        <w:pStyle w:val="BodyText"/>
      </w:pPr>
      <w:r>
        <w:rPr>
          <w:b/>
          <w:bCs/>
        </w:rPr>
        <w:t xml:space="preserve">TABLA VII</w:t>
      </w:r>
      <w:r>
        <w:br/>
      </w: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[4]. La propuesta se calculó sobre la pila tecnológica inicial (Windows 10 Pro, MySQL y arquitectura en capas), anterior al cambio a microservicios y SQL Server.</w:t>
      </w:r>
    </w:p>
    <w:bookmarkEnd w:id="50"/>
    <w:bookmarkStart w:id="51" w:name="h-resultados-con-personas-usuarias"/>
    <w:p>
      <w:pPr>
        <w:pStyle w:val="Heading3"/>
      </w:pPr>
      <w:r>
        <w:t xml:space="preserve">H.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[28], y el proyecto definió las medidas de éxito que se deben capturar como línea base: flujos de reserva completados, conflictos de reserva, servicios con estado final, pagos conciliados con reservas, calificaciones y notificaciones leídas [2]. El plan de actividades también incluía la validación de requisitos con el cliente y pruebas finales con el cliente en el último sprint [27], pero en los documentos revisados no hay registros de sus resultados.</w:t>
      </w:r>
    </w:p>
    <w:bookmarkEnd w:id="51"/>
    <w:bookmarkEnd w:id="52"/>
    <w:bookmarkStart w:id="54" w:name="v-discusión"/>
    <w:p>
      <w:pPr>
        <w:pStyle w:val="Heading2"/>
      </w:pPr>
      <w:r>
        <w:t xml:space="preserve">V.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[5]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[6].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[4].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[8] se refleja en la forma de las pruebas: 648 de las 655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[21]. Los ADR [18] permitieron que los cambios de alcance, como la asignación manual de operarios, quedaran justificados en lugar de aparecer como incumplimientos silenciosos.</w:t>
      </w:r>
    </w:p>
    <w:bookmarkStart w:id="53" w:name="a-limitaciones"/>
    <w:p>
      <w:pPr>
        <w:pStyle w:val="Heading3"/>
      </w:pPr>
      <w:r>
        <w:t xml:space="preserve">A.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[1]. Sexta, el caso es único y de pequeña escala, por lo que sus conclusiones no se pueden generalizar a otros negocios.</w:t>
      </w:r>
    </w:p>
    <w:bookmarkEnd w:id="53"/>
    <w:bookmarkEnd w:id="54"/>
    <w:bookmarkStart w:id="55" w:name="vi-conclusiones"/>
    <w:p>
      <w:pPr>
        <w:pStyle w:val="Heading2"/>
      </w:pPr>
      <w:r>
        <w:t xml:space="preserve">VI.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655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[22].</w:t>
      </w:r>
    </w:p>
    <w:bookmarkEnd w:id="55"/>
    <w:bookmarkStart w:id="65" w:name="referencias"/>
    <w:p>
      <w:pPr>
        <w:pStyle w:val="Heading2"/>
      </w:pPr>
      <w:r>
        <w:t xml:space="preserve">Referencias</w:t>
      </w:r>
    </w:p>
    <w:p>
      <w:pPr>
        <w:pStyle w:val="FirstParagraph"/>
      </w:pPr>
      <w:r>
        <w:t xml:space="preserve">[1] J. C. Guilombo Osorio, B. E. Patiño Cabrera y M. Urbano Quintero, «Especificación de requisitos de software (SRS) del sistema LavaRápido: Plataforma web y móvil de reservas y gestión para un lavadero de vehículos», versión 7.0, documento no publicado, Servicio Nacional de Aprendizaje, 2026.</w:t>
      </w:r>
    </w:p>
    <w:p>
      <w:pPr>
        <w:pStyle w:val="BodyText"/>
      </w:pPr>
      <w:r>
        <w:t xml:space="preserve">[2] Equipo de Desarrollo Vehicle Washing,</w:t>
      </w:r>
      <w:r>
        <w:t xml:space="preserve"> </w:t>
      </w:r>
      <w:r>
        <w:rPr>
          <w:i/>
          <w:iCs/>
        </w:rPr>
        <w:t xml:space="preserve">Vehicle Washing Management System: Project Documentation</w:t>
      </w:r>
      <w:r>
        <w:t xml:space="preserve"> </w:t>
      </w:r>
      <w:r>
        <w:t xml:space="preserve">(vehicle-w-docs), documentación de proyecto no publicada, 2026. [En línea]. Disponible en:</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2012. [En línea]. Disponible en:</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y M. Urbano, «Propuesta técnica y económica: Sistema integral para la gestión de servicios móviles de lavado vehicular», documento no publicado, Servicio Nacional de Aprendizaje, 2025.</w:t>
      </w:r>
    </w:p>
    <w:p>
      <w:pPr>
        <w:pStyle w:val="BodyText"/>
      </w:pPr>
      <w:r>
        <w:t xml:space="preserve">[5] S. Newman,</w:t>
      </w:r>
      <w:r>
        <w:t xml:space="preserve"> </w:t>
      </w:r>
      <w:r>
        <w:rPr>
          <w:i/>
          <w:iCs/>
        </w:rPr>
        <w:t xml:space="preserve">Building Microservices: Designing Fine-Grained Systems</w:t>
      </w:r>
      <w:r>
        <w:t xml:space="preserve">, 2.ª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[En línea]. Disponible en:</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tesis doctoral, University of California, Irvine, 2000. [En línea]. Disponible en:</w:t>
      </w:r>
      <w:r>
        <w:t xml:space="preserve"> </w:t>
      </w:r>
      <w:hyperlink r:id="rId59">
        <w:r>
          <w:rPr>
            <w:rStyle w:val="Hyperlink"/>
          </w:rPr>
          <w:t xml:space="preserve">https://ics.uci.edu/~fielding/pubs/dissertation/top.htm</w:t>
        </w:r>
      </w:hyperlink>
    </w:p>
    <w:p>
      <w:pPr>
        <w:pStyle w:val="BodyText"/>
      </w:pPr>
      <w:r>
        <w:t xml:space="preserve">[10] M. Nottingham, E. Wilde y S. Dalal, «Problem details for HTTP APIs,» Internet Engineering Task Force, RFC 9457, 2023. [En línea]. Disponible en:</w:t>
      </w:r>
      <w:r>
        <w:t xml:space="preserve"> </w:t>
      </w:r>
      <w:hyperlink r:id="rId60">
        <w:r>
          <w:rPr>
            <w:rStyle w:val="Hyperlink"/>
          </w:rPr>
          <w:t xml:space="preserve">https://www.rfc-editor.org/rfc/rfc9457</w:t>
        </w:r>
      </w:hyperlink>
    </w:p>
    <w:p>
      <w:pPr>
        <w:pStyle w:val="BodyText"/>
      </w:pPr>
      <w:r>
        <w:t xml:space="preserve">[11] G. Hohpe y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y N. Sakimura, «JSON Web Token (JWT),» Internet Engineering Task Force, RFC 7519, 2015. [En línea]. Disponible en:</w:t>
      </w:r>
      <w:r>
        <w:t xml:space="preserve"> </w:t>
      </w:r>
      <w:hyperlink r:id="rId61">
        <w:r>
          <w:rPr>
            <w:rStyle w:val="Hyperlink"/>
          </w:rPr>
          <w:t xml:space="preserve">https://www.rfc-editor.org/rfc/rfc7519</w:t>
        </w:r>
      </w:hyperlink>
    </w:p>
    <w:p>
      <w:pPr>
        <w:pStyle w:val="BodyText"/>
      </w:pPr>
      <w:r>
        <w:t xml:space="preserve">[13] N. Provos y D. Mazières, «A future-adaptable password scheme,» en</w:t>
      </w:r>
      <w:r>
        <w:t xml:space="preserve"> </w:t>
      </w:r>
      <w:r>
        <w:rPr>
          <w:i/>
          <w:iCs/>
        </w:rPr>
        <w:t xml:space="preserve">Proc. 1999 USENIX Annual Technical Conference, FREENIX Track</w:t>
      </w:r>
      <w:r>
        <w:t xml:space="preserve">, 1999, págs. 81–91.</w:t>
      </w:r>
    </w:p>
    <w:p>
      <w:pPr>
        <w:pStyle w:val="BodyText"/>
      </w:pPr>
      <w:r>
        <w:t xml:space="preserve">[14] OWASP Foundation, «OWASP Top 10:2021,» 2021. [En línea]. Disponible en:</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[En línea]. Disponible en:</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y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y M. Urbano, «Documentación de acciones correctivas, preventivas y de mejoramiento del software: Sistema de Gestión de Lavado Vehicular (Vehicle Washing),» versión 2.0, documento no publicado, Servicio Nacional de Aprendizaje, 2026.</w:t>
      </w:r>
    </w:p>
    <w:p>
      <w:pPr>
        <w:pStyle w:val="BodyText"/>
      </w:pPr>
      <w:r>
        <w:t xml:space="preserve">[22] B. E. Patiño Cabrera, J. C. Guilombo Osorio y M. Urbano, «Manual técnico: Sistema de Gestión de Lavado Vehicular (Vehicle Washing),» versión 4.0, documento no publicado,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y J. Sutherland,</w:t>
      </w:r>
      <w:r>
        <w:t xml:space="preserve"> </w:t>
      </w:r>
      <w:r>
        <w:rPr>
          <w:i/>
          <w:iCs/>
        </w:rPr>
        <w:t xml:space="preserve">The Scrum Guide: The Definitive Guide to Scrum: The Rules of the Game</w:t>
      </w:r>
      <w:r>
        <w:t xml:space="preserve">, 2020. [En línea]. Disponible en:</w:t>
      </w:r>
      <w:r>
        <w:t xml:space="preserve"> </w:t>
      </w:r>
      <w:hyperlink r:id="rId64">
        <w:r>
          <w:rPr>
            <w:rStyle w:val="Hyperlink"/>
          </w:rPr>
          <w:t xml:space="preserve">https://scrumguides.org/scrum-guide.html</w:t>
        </w:r>
      </w:hyperlink>
    </w:p>
    <w:p>
      <w:pPr>
        <w:pStyle w:val="BodyText"/>
      </w:pPr>
      <w:r>
        <w:t xml:space="preserve">[27] Equipo de Desarrollo Vehicle Washing,</w:t>
      </w:r>
      <w:r>
        <w:t xml:space="preserve"> </w:t>
      </w:r>
      <w:r>
        <w:rPr>
          <w:i/>
          <w:iCs/>
        </w:rPr>
        <w:t xml:space="preserve">Plan de actividades Scrum del proyecto LavaRapido</w:t>
      </w:r>
      <w:r>
        <w:t xml:space="preserve"> </w:t>
      </w:r>
      <w:r>
        <w:t xml:space="preserve">(scrum1.1), hoja de cálculo no publicada, Servicio Nacional de Aprendizaje, 2026.</w:t>
      </w:r>
    </w:p>
    <w:p>
      <w:pPr>
        <w:pStyle w:val="BodyText"/>
      </w:pPr>
      <w:r>
        <w:t xml:space="preserve">[28] B. E. Patiño Cabrera, J. C. Guilombo Osorio y M. Urbano, «Procedimiento de implementación del software: Sistema de Gestión de Lavado Vehicular (Vehicle Washing),» versión 2.0, documento no publicado, Servicio Nacional de Aprendizaje, 2026.</w:t>
      </w:r>
    </w:p>
    <w:bookmarkEnd w:id="65"/>
    <w:bookmarkStart w:id="67" w:name="apéndice"/>
    <w:p>
      <w:pPr>
        <w:pStyle w:val="Heading2"/>
      </w:pPr>
      <w:r>
        <w:t xml:space="preserve">Apéndice</w:t>
      </w:r>
    </w:p>
    <w:bookmarkStart w:id="66"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br/>
      </w: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V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66"/>
    <w:bookmarkEnd w:id="67"/>
    <w:bookmarkEnd w:id="68"/>
    <w:bookmarkStart w:id="108"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Huila Regional Office, Colombia</w:t>
      </w:r>
    </w:p>
    <w:p>
      <w:pPr>
        <w:pStyle w:val="BodyText"/>
      </w:pPr>
      <w:r>
        <w:rPr>
          <w:i/>
          <w:iCs/>
        </w:rPr>
        <w:t xml:space="preserve">Technologist in Software Analysis and Development (ADSO), Ficha 3145556. Instructor: Karol Daniela Correa. October 16, 2026.</w:t>
      </w:r>
    </w:p>
    <w:p>
      <w:pPr>
        <w:pStyle w:val="BodyText"/>
      </w:pPr>
      <w:r>
        <w:rPr>
          <w:b/>
          <w:bCs/>
          <w:i/>
          <w:iCs/>
        </w:rPr>
        <w:t xml:space="preserve">Abstract</w:t>
      </w:r>
      <w:r>
        <w:rPr>
          <w:b/>
          <w:bCs/>
        </w:rP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On October 19, 2026, 655 automated tests were run and all passed (including 7 persistence tests against an isolated database), and 19 end-to-end tests and 42 functional cases against the complete system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b/>
          <w:bCs/>
          <w:i/>
          <w:iCs/>
        </w:rPr>
        <w:t xml:space="preserve">Index Terms</w:t>
      </w:r>
      <w:r>
        <w:rPr>
          <w:b/>
          <w:bCs/>
        </w:rPr>
        <w:t xml:space="preserve">—microservices, hexagonal architecture, booking system, car wash, QR code payments, software design documentation</w:t>
      </w:r>
    </w:p>
    <w:bookmarkStart w:id="73" w:name="i-introduction"/>
    <w:p>
      <w:pPr>
        <w:pStyle w:val="Heading2"/>
      </w:pPr>
      <w:r>
        <w:t xml:space="preserve">I.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69" w:name="a-problem-statement"/>
    <w:p>
      <w:pPr>
        <w:pStyle w:val="Heading3"/>
      </w:pPr>
      <w:r>
        <w:t xml:space="preserve">A.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[1].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[2].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[2].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69"/>
    <w:bookmarkStart w:id="70" w:name="b-rationale"/>
    <w:p>
      <w:pPr>
        <w:pStyle w:val="Heading3"/>
      </w:pPr>
      <w:r>
        <w:t xml:space="preserve">B.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[2].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[3],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0"/>
    <w:bookmarkStart w:id="71" w:name="c-objectives"/>
    <w:p>
      <w:pPr>
        <w:pStyle w:val="Heading3"/>
      </w:pPr>
      <w:r>
        <w:t xml:space="preserve">C. Objectives</w:t>
      </w:r>
    </w:p>
    <w:p>
      <w:pPr>
        <w:pStyle w:val="FirstParagraph"/>
      </w:pPr>
      <w:r>
        <w:t xml:space="preserve">The current project objectives are stated in version 7.0 of the SRS [1].</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1"/>
    <w:bookmarkStart w:id="72" w:name="d-scope-evolution"/>
    <w:p>
      <w:pPr>
        <w:pStyle w:val="Heading3"/>
      </w:pPr>
      <w:r>
        <w:t xml:space="preserve">D.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[4].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[1].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2"/>
    <w:bookmarkEnd w:id="73"/>
    <w:bookmarkStart w:id="79" w:name="ii-conceptual-framework"/>
    <w:p>
      <w:pPr>
        <w:pStyle w:val="Heading2"/>
      </w:pPr>
      <w:r>
        <w:t xml:space="preserve">II.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74" w:name="a-microservices-and-data-ownership"/>
    <w:p>
      <w:pPr>
        <w:pStyle w:val="Heading3"/>
      </w:pPr>
      <w:r>
        <w:t xml:space="preserve">A. Microservices and Data Ownership</w:t>
      </w:r>
    </w:p>
    <w:p>
      <w:pPr>
        <w:pStyle w:val="FirstParagraph"/>
      </w:pPr>
      <w:r>
        <w:t xml:space="preserve">A microservices architecture organizes software into services that are deployed independently, built around a business capability, and own their data [5]. This style makes it easier for each part to evolve separately, but it introduces problems specific to distributed systems, such as consistency across services and reliable event publishing, for which patterns such as Saga and Outbox exist [6]. Choosing which patterns to adopt, and documenting why others are discarded, is part of the design.</w:t>
      </w:r>
    </w:p>
    <w:bookmarkEnd w:id="74"/>
    <w:bookmarkStart w:id="75" w:name="X26432326db2d6d8f2e19a27c3e8e8a83bf9d553"/>
    <w:p>
      <w:pPr>
        <w:pStyle w:val="Heading3"/>
      </w:pPr>
      <w:r>
        <w:t xml:space="preserve">B.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[7]. Hexagonal architecture, or ports and adapters, complements that idea: the application core does not depend on the database, the framework, or messaging, which are connected through adapters [8]. The combination makes it possible to test business rules without infrastructure.</w:t>
      </w:r>
    </w:p>
    <w:bookmarkEnd w:id="75"/>
    <w:bookmarkStart w:id="76" w:name="X2d58279b3c06b96d8700f46a5fce4c54d51e97b"/>
    <w:p>
      <w:pPr>
        <w:pStyle w:val="Heading3"/>
      </w:pPr>
      <w:r>
        <w:t xml:space="preserve">C. Synchronous and Asynchronous Integration</w:t>
      </w:r>
    </w:p>
    <w:p>
      <w:pPr>
        <w:pStyle w:val="FirstParagraph"/>
      </w:pPr>
      <w:r>
        <w:t xml:space="preserve">The system's external interfaces follow the REST architectural style [9], and their errors are expressed in the standard</w:t>
      </w:r>
      <w:r>
        <w:t xml:space="preserve"> </w:t>
      </w:r>
      <w:r>
        <w:rPr>
          <w:i/>
          <w:iCs/>
        </w:rPr>
        <w:t xml:space="preserve">Problem Details for HTTP APIs</w:t>
      </w:r>
      <w:r>
        <w:t xml:space="preserve"> </w:t>
      </w:r>
      <w:r>
        <w:t xml:space="preserve">format [10]. For work that can happen after a transaction, such as sending a notification, the system uses publish-subscribe messaging, in which a sender publishes an event without knowing its consumers [11].</w:t>
      </w:r>
    </w:p>
    <w:bookmarkEnd w:id="76"/>
    <w:bookmarkStart w:id="77" w:name="d-application-security"/>
    <w:p>
      <w:pPr>
        <w:pStyle w:val="Heading3"/>
      </w:pPr>
      <w:r>
        <w:t xml:space="preserve">D. Application Security</w:t>
      </w:r>
    </w:p>
    <w:p>
      <w:pPr>
        <w:pStyle w:val="FirstParagraph"/>
      </w:pPr>
      <w:r>
        <w:t xml:space="preserve">Stateless authentication relies on JSON Web Tokens (JWT), signed tokens that carry the user's identity and roles [12]. Passwords are stored with BCrypt, a derivation function with an adjustable cost [13]. The OWASP Top 10 list serves as a reference for reviewing the most common web application risks [14].</w:t>
      </w:r>
    </w:p>
    <w:bookmarkEnd w:id="77"/>
    <w:bookmarkStart w:id="78" w:name="e-software-quality-management"/>
    <w:p>
      <w:pPr>
        <w:pStyle w:val="Heading3"/>
      </w:pPr>
      <w:r>
        <w:t xml:space="preserve">E. Software Quality Management</w:t>
      </w:r>
    </w:p>
    <w:p>
      <w:pPr>
        <w:pStyle w:val="FirstParagraph"/>
      </w:pPr>
      <w:r>
        <w:t xml:space="preserve">The project frames its corrective, preventive, and improvement actions within the maintenance and quality assurance processes of ISO/IEC/IEEE 12207 [15], the maintenance types of ISO/IEC/IEEE 14764 [16], and the continual improvement of ISO 9001 [17]. Architecture decisions are recorded as Architecture Decision Records (ADRs), short documents that capture the context, the decision, and its consequences [18], and tests are written following test-driven development [19]. Research on software delivery performance associates continuous integration and test automation with better delivery outcomes [20].</w:t>
      </w:r>
    </w:p>
    <w:bookmarkEnd w:id="78"/>
    <w:bookmarkEnd w:id="79"/>
    <w:bookmarkStart w:id="86" w:name="iii-method"/>
    <w:p>
      <w:pPr>
        <w:pStyle w:val="Heading2"/>
      </w:pPr>
      <w:r>
        <w:t xml:space="preserve">III. Method</w:t>
      </w:r>
    </w:p>
    <w:bookmarkStart w:id="80" w:name="a-type-of-study"/>
    <w:p>
      <w:pPr>
        <w:pStyle w:val="Heading3"/>
      </w:pPr>
      <w:r>
        <w:t xml:space="preserve">A.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[21], [22]. Version 7.0 of the SRS follows the structure of IEEE 830 [23] and the contents of ISO/IEC/IEEE 29148 [24], and defines 41 functional requirements, 12 non-functional requirements classified according to the ISO/IEC 25010 quality model [25], 32 use cases, and a traceability matrix with the status of each requirement [1].</w:t>
      </w:r>
    </w:p>
    <w:bookmarkEnd w:id="80"/>
    <w:bookmarkStart w:id="81" w:name="b-context-and-participants"/>
    <w:p>
      <w:pPr>
        <w:pStyle w:val="Heading3"/>
      </w:pPr>
      <w:r>
        <w:t xml:space="preserve">B.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[2].</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[2] (see the Appendix).</w:t>
      </w:r>
    </w:p>
    <w:bookmarkEnd w:id="81"/>
    <w:bookmarkStart w:id="82" w:name="c-development-process"/>
    <w:p>
      <w:pPr>
        <w:pStyle w:val="Heading3"/>
      </w:pPr>
      <w:r>
        <w:t xml:space="preserve">C.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[2].</w:t>
      </w:r>
    </w:p>
    <w:p>
      <w:pPr>
        <w:pStyle w:val="BodyText"/>
      </w:pPr>
      <w:r>
        <w:t xml:space="preserve">Work management adapted Scrum practices [26]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[27].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2"/>
    <w:bookmarkStart w:id="83" w:name="X26a904b782424c98909beb2af3f6715cd1ddce1"/>
    <w:p>
      <w:pPr>
        <w:pStyle w:val="Heading3"/>
      </w:pPr>
      <w:r>
        <w:t xml:space="preserve">D.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[22].</w:t>
      </w:r>
    </w:p>
    <w:p>
      <w:pPr>
        <w:pStyle w:val="Compact"/>
        <w:numPr>
          <w:ilvl w:val="0"/>
          <w:numId w:val="1004"/>
        </w:numPr>
      </w:pPr>
      <w:r>
        <w:t xml:space="preserve">A register of corrective, preventive, and improvement actions with root cause analysis and follow-up indicators [21].</w:t>
      </w:r>
    </w:p>
    <w:p>
      <w:pPr>
        <w:pStyle w:val="Compact"/>
        <w:numPr>
          <w:ilvl w:val="0"/>
          <w:numId w:val="1004"/>
        </w:numPr>
      </w:pPr>
      <w:r>
        <w:t xml:space="preserve">A list of acceptance test cases (CA-01 to CA-16) defined in the implementation procedure [28].</w:t>
      </w:r>
    </w:p>
    <w:bookmarkEnd w:id="83"/>
    <w:bookmarkStart w:id="84" w:name="e-tools"/>
    <w:p>
      <w:pPr>
        <w:pStyle w:val="Heading3"/>
      </w:pPr>
      <w:r>
        <w:t xml:space="preserve">E. Tools</w:t>
      </w:r>
    </w:p>
    <w:p>
      <w:pPr>
        <w:pStyle w:val="FirstParagraph"/>
      </w:pPr>
      <w:r>
        <w:t xml:space="preserve">Table I summarizes the technology stack, taken from the build files of each repository.</w:t>
      </w:r>
    </w:p>
    <w:p>
      <w:pPr>
        <w:pStyle w:val="BodyText"/>
      </w:pPr>
      <w:r>
        <w:rPr>
          <w:b/>
          <w:bCs/>
        </w:rPr>
        <w:t xml:space="preserve">TABLE I</w:t>
      </w:r>
      <w:r>
        <w:br/>
      </w: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[22]. Continuous integration runs on GitHub Actions in the 10 repositories.</w:t>
      </w:r>
    </w:p>
    <w:bookmarkEnd w:id="84"/>
    <w:bookmarkStart w:id="85" w:name="f-analysis-procedure"/>
    <w:p>
      <w:pPr>
        <w:pStyle w:val="Heading3"/>
      </w:pPr>
      <w:r>
        <w:t xml:space="preserve">F. Analysis Procedure</w:t>
      </w:r>
    </w:p>
    <w:p>
      <w:pPr>
        <w:pStyle w:val="FirstParagraph"/>
      </w:pPr>
      <w:r>
        <w:t xml:space="preserve">The status of the requirements was taken from the SRS traceability matrix, verified against the code on October 16, 2026 [1]. The tests were run again on October 19,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and the 42 functional cases against the complete system.</w:t>
      </w:r>
    </w:p>
    <w:bookmarkEnd w:id="85"/>
    <w:bookmarkEnd w:id="86"/>
    <w:bookmarkStart w:id="101" w:name="iv-results"/>
    <w:p>
      <w:pPr>
        <w:pStyle w:val="Heading2"/>
      </w:pPr>
      <w:r>
        <w:t xml:space="preserve">IV. Results</w:t>
      </w:r>
    </w:p>
    <w:bookmarkStart w:id="90" w:name="a-implemented-architecture"/>
    <w:p>
      <w:pPr>
        <w:pStyle w:val="Heading3"/>
      </w:pPr>
      <w:r>
        <w:t xml:space="preserve">A. Implemented Architecture</w:t>
      </w:r>
    </w:p>
    <w:p>
      <w:pPr>
        <w:pStyle w:val="FirstParagraph"/>
      </w:pPr>
      <w:r>
        <w:t xml:space="preserve">The backend consists of six domain microservices behind an API gateway (Fig.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[22].</w:t>
      </w:r>
    </w:p>
    <w:p>
      <w:pPr>
        <w:pStyle w:val="BodyText"/>
      </w:pPr>
      <w:r>
        <w:drawing>
          <wp:inline>
            <wp:extent cx="5334000" cy="3667125"/>
            <wp:effectExtent b="0" l="0" r="0" t="0"/>
            <wp:docPr descr="System Container Diagram" title="" id="88" name="Picture"/>
            <a:graphic>
              <a:graphicData uri="http://schemas.openxmlformats.org/drawingml/2006/picture">
                <pic:pic>
                  <pic:nvPicPr>
                    <pic:cNvPr descr="capturas/arquitectura_en.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3667125"/>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System Container Diagram</w:t>
      </w:r>
    </w:p>
    <w:p>
      <w:pPr>
        <w:pStyle w:val="BodyText"/>
      </w:pPr>
      <w:r>
        <w:rPr>
          <w:i/>
          <w:iCs/>
        </w:rPr>
        <w:t xml:space="preserve">Note.</w:t>
      </w:r>
      <w:r>
        <w:t xml:space="preserve"> </w:t>
      </w:r>
      <w:r>
        <w:t xml:space="preserve">Adapted from the technical manual [22],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II shows the resulting distribution.</w:t>
      </w:r>
    </w:p>
    <w:p>
      <w:pPr>
        <w:pStyle w:val="BodyText"/>
      </w:pPr>
      <w:r>
        <w:rPr>
          <w:b/>
          <w:bCs/>
        </w:rPr>
        <w:t xml:space="preserve">TABLE II</w:t>
      </w:r>
      <w:r>
        <w:br/>
      </w: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[22].</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eleven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[22].</w:t>
      </w:r>
    </w:p>
    <w:bookmarkEnd w:id="90"/>
    <w:bookmarkStart w:id="94" w:name="b-business-rules-and-data-integrity"/>
    <w:p>
      <w:pPr>
        <w:pStyle w:val="Heading3"/>
      </w:pPr>
      <w:r>
        <w:t xml:space="preserve">B. Business Rules and Data Integrity</w:t>
      </w:r>
    </w:p>
    <w:p>
      <w:pPr>
        <w:pStyle w:val="FirstParagraph"/>
      </w:pPr>
      <w:r>
        <w:t xml:space="preserve">The most critical rules do not depend only on application code; they are also enforced in the database (Table III).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III</w:t>
      </w:r>
      <w:r>
        <w:br/>
      </w: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[22].</w:t>
      </w:r>
    </w:p>
    <w:p>
      <w:pPr>
        <w:pStyle w:val="BodyText"/>
      </w:pPr>
      <w:r>
        <w:t xml:space="preserve">Booking, assignment, and payment have independent life cycles, so a confirmed booking does not make a pending payment look approved. Fig. 2 shows the booking life cycle; a payment moves through the states PENDING, IN_REVIEW, APPROVED or REJECTED, and an approved payment can move to REFUNDED.</w:t>
      </w:r>
    </w:p>
    <w:p>
      <w:pPr>
        <w:pStyle w:val="BodyText"/>
      </w:pPr>
      <w:r>
        <w:drawing>
          <wp:inline>
            <wp:extent cx="5334000" cy="2580967"/>
            <wp:effectExtent b="0" l="0" r="0" t="0"/>
            <wp:docPr descr="Booking State Diagram" title="" id="92" name="Picture"/>
            <a:graphic>
              <a:graphicData uri="http://schemas.openxmlformats.org/drawingml/2006/picture">
                <pic:pic>
                  <pic:nvPicPr>
                    <pic:cNvPr descr="capturas/estados_reserva_en.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334000" cy="2580967"/>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Booking State Diagram</w:t>
      </w:r>
    </w:p>
    <w:p>
      <w:pPr>
        <w:pStyle w:val="BodyText"/>
      </w:pPr>
      <w:r>
        <w:rPr>
          <w:i/>
          <w:iCs/>
        </w:rPr>
        <w:t xml:space="preserve">Note.</w:t>
      </w:r>
      <w:r>
        <w:t xml:space="preserve"> </w:t>
      </w:r>
      <w:r>
        <w:t xml:space="preserve">Gray states are final. Taken from the technical manual [22].</w:t>
      </w:r>
    </w:p>
    <w:bookmarkEnd w:id="94"/>
    <w:bookmarkStart w:id="95" w:name="X2e7a17429eec3b1ecfdf1d4af841e587af38332"/>
    <w:p>
      <w:pPr>
        <w:pStyle w:val="Heading3"/>
      </w:pPr>
      <w:r>
        <w:t xml:space="preserve">C.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IV summarizes their status as of October 16, 2026: 40 implemented (98%) and 1 partial.</w:t>
      </w:r>
    </w:p>
    <w:p>
      <w:pPr>
        <w:pStyle w:val="BodyText"/>
      </w:pPr>
      <w:r>
        <w:rPr>
          <w:b/>
          <w:bCs/>
        </w:rPr>
        <w:t xml:space="preserve">TABLE IV</w:t>
      </w:r>
      <w:r>
        <w:br/>
      </w:r>
      <w:r>
        <w:rPr>
          <w:i/>
          <w:iCs/>
        </w:rP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7.0 [1].</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[1].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95"/>
    <w:bookmarkStart w:id="96" w:name="d-test-results"/>
    <w:p>
      <w:pPr>
        <w:pStyle w:val="Heading3"/>
      </w:pPr>
      <w:r>
        <w:t xml:space="preserve">D. Test Results</w:t>
      </w:r>
    </w:p>
    <w:p>
      <w:pPr>
        <w:pStyle w:val="FirstParagraph"/>
      </w:pPr>
      <w:r>
        <w:t xml:space="preserve">On October 19, 2026, all the automated suites were run: 655 tests passed, none failed or skipped; the 7 payment-service persistence tests ran against an isolated test database (Table V).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The SRS recorded 347 tests on October 6 [1]; the difference corresponds to the tests added with each new function.</w:t>
      </w:r>
    </w:p>
    <w:p>
      <w:pPr>
        <w:pStyle w:val="BodyText"/>
      </w:pPr>
      <w:r>
        <w:rPr>
          <w:b/>
          <w:bCs/>
        </w:rPr>
        <w:t xml:space="preserve">TABLE V</w:t>
      </w:r>
      <w:r>
        <w:br/>
      </w:r>
      <w:r>
        <w:rPr>
          <w:i/>
          <w:iCs/>
        </w:rPr>
        <w:t xml:space="preserve">Results of the Automated Test Run (October 19,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96"/>
    <w:bookmarkStart w:id="97" w:name="e-security"/>
    <w:p>
      <w:pPr>
        <w:pStyle w:val="Heading3"/>
      </w:pPr>
      <w:r>
        <w:t xml:space="preserve">E. Security</w:t>
      </w:r>
    </w:p>
    <w:p>
      <w:pPr>
        <w:pStyle w:val="FirstParagraph"/>
      </w:pPr>
      <w:r>
        <w:t xml:space="preserve">Table VI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VI</w:t>
      </w:r>
      <w:r>
        <w:br/>
      </w: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[14], [22].</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[3]. The profile option formerly called "Delete account" is now called "Deactivate my account", because the account is deactivated and its history is kept.</w:t>
      </w:r>
    </w:p>
    <w:bookmarkEnd w:id="97"/>
    <w:bookmarkStart w:id="98" w:name="Xcb19a1ddec9982cdc40f9f853e3252e5b22ecca"/>
    <w:p>
      <w:pPr>
        <w:pStyle w:val="Heading3"/>
      </w:pPr>
      <w:r>
        <w:t xml:space="preserve">F. 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[21].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[22]. The review of October 16, 2026, closed the ones still open and brought the manuals to version 4.0, with real screenshots of the system.</w:t>
      </w:r>
    </w:p>
    <w:bookmarkEnd w:id="98"/>
    <w:bookmarkStart w:id="99" w:name="g-costs"/>
    <w:p>
      <w:pPr>
        <w:pStyle w:val="Heading3"/>
      </w:pPr>
      <w:r>
        <w:t xml:space="preserve">G.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[4], distributed as shown in Table VII. Human resources account for 79% of the cost.</w:t>
      </w:r>
    </w:p>
    <w:p>
      <w:pPr>
        <w:pStyle w:val="BodyText"/>
      </w:pPr>
      <w:r>
        <w:rPr>
          <w:b/>
          <w:bCs/>
        </w:rPr>
        <w:t xml:space="preserve">TABLE VII</w:t>
      </w:r>
      <w:r>
        <w:br/>
      </w: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[4]. The proposal was calculated on the initial technology stack (Windows 10 Pro, MySQL, and a layered architecture), before the move to microservices and SQL Server.</w:t>
      </w:r>
    </w:p>
    <w:bookmarkEnd w:id="99"/>
    <w:bookmarkStart w:id="100" w:name="h-results-with-users"/>
    <w:p>
      <w:pPr>
        <w:pStyle w:val="Heading3"/>
      </w:pPr>
      <w:r>
        <w:t xml:space="preserve">H.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[28], and the project defined the success measures to be captured as a baseline: completed booking flows, booking conflicts, services with a final status, payments reconciled with bookings, ratings, and read notifications [2]. The activity plan also included requirements validation with the client and final tests with the client in the last sprint [27], but the documents reviewed contain no records of their results.</w:t>
      </w:r>
    </w:p>
    <w:bookmarkEnd w:id="100"/>
    <w:bookmarkEnd w:id="101"/>
    <w:bookmarkStart w:id="103" w:name="v-discussion"/>
    <w:p>
      <w:pPr>
        <w:pStyle w:val="Heading2"/>
      </w:pPr>
      <w:r>
        <w:t xml:space="preserve">V.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[5]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[6].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[4].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[8] is reflected in the shape of the tests: 648 of the 655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[21]. The ADRs [18] allowed scope changes, such as manual operator assignment, to be justified rather than appearing as silent non-compliance.</w:t>
      </w:r>
    </w:p>
    <w:bookmarkStart w:id="102" w:name="a-limitations"/>
    <w:p>
      <w:pPr>
        <w:pStyle w:val="Heading3"/>
      </w:pPr>
      <w:r>
        <w:t xml:space="preserve">A.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[1]. Sixth, the case is single and small-scale, so its conclusions cannot be generalized to other businesses.</w:t>
      </w:r>
    </w:p>
    <w:bookmarkEnd w:id="102"/>
    <w:bookmarkEnd w:id="103"/>
    <w:bookmarkStart w:id="104" w:name="vi-conclusions"/>
    <w:p>
      <w:pPr>
        <w:pStyle w:val="Heading2"/>
      </w:pPr>
      <w:r>
        <w:t xml:space="preserve">VI.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655 automated tests, 19 end-to-end tests, and 42 functional cases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[22].</w:t>
      </w:r>
    </w:p>
    <w:bookmarkEnd w:id="104"/>
    <w:bookmarkStart w:id="105" w:name="references"/>
    <w:p>
      <w:pPr>
        <w:pStyle w:val="Heading2"/>
      </w:pPr>
      <w:r>
        <w:t xml:space="preserve">References</w:t>
      </w:r>
    </w:p>
    <w:p>
      <w:pPr>
        <w:pStyle w:val="FirstParagraph"/>
      </w:pPr>
      <w:r>
        <w:t xml:space="preserve">[1] J. C. Guilombo Osorio, B. E. Patiño Cabrera and M. Urbano Quintero, “Especificación de requisitos de software (SRS) del sistema LavaRápido: Plataforma web y móvil de reservas y gestión para un lavadero de vehículos” [Software requirements specification (SRS) of the LavaRápido system: Web and mobile booking and management platform for a car wash], version 7.0, unpublished document, Servicio Nacional de Aprendizaje, 2026.</w:t>
      </w:r>
    </w:p>
    <w:p>
      <w:pPr>
        <w:pStyle w:val="BodyText"/>
      </w:pPr>
      <w:r>
        <w:t xml:space="preserve">[2] Vehicle Washing Development Team,</w:t>
      </w:r>
      <w:r>
        <w:t xml:space="preserve"> </w:t>
      </w:r>
      <w:r>
        <w:rPr>
          <w:i/>
          <w:iCs/>
        </w:rPr>
        <w:t xml:space="preserve">Vehicle Washing Management System: Project Documentation</w:t>
      </w:r>
      <w:r>
        <w:t xml:space="preserve"> </w:t>
      </w:r>
      <w:r>
        <w:t xml:space="preserve">(vehicle-w-docs), unpublished project documentation, 2026. [Online]. Available:</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 2012. [Online]. Available:</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and M. Urbano, “Propuesta técnica y económica: Sistema integral para la gestión de servicios móviles de lavado vehicular” [Technical and economic proposal: Comprehensive system for managing mobile car wash services], unpublished document, Servicio Nacional de Aprendizaje, 2025.</w:t>
      </w:r>
    </w:p>
    <w:p>
      <w:pPr>
        <w:pStyle w:val="BodyText"/>
      </w:pPr>
      <w:r>
        <w:t xml:space="preserve">[5] S. Newman,</w:t>
      </w:r>
      <w:r>
        <w:t xml:space="preserve"> </w:t>
      </w:r>
      <w:r>
        <w:rPr>
          <w:i/>
          <w:iCs/>
        </w:rPr>
        <w:t xml:space="preserve">Building Microservices: Designing Fine-Grained Systems</w:t>
      </w:r>
      <w:r>
        <w:t xml:space="preserve">, 2nd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[Online]. Available:</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Ph.D. dissertation, University of California, Irvine, 2000. [Online]. Available:</w:t>
      </w:r>
      <w:r>
        <w:t xml:space="preserve"> </w:t>
      </w:r>
      <w:hyperlink r:id="rId59">
        <w:r>
          <w:rPr>
            <w:rStyle w:val="Hyperlink"/>
          </w:rPr>
          <w:t xml:space="preserve">https://ics.uci.edu/~fielding/pubs/dissertation/top.htm</w:t>
        </w:r>
      </w:hyperlink>
    </w:p>
    <w:p>
      <w:pPr>
        <w:pStyle w:val="BodyText"/>
      </w:pPr>
      <w:r>
        <w:t xml:space="preserve">[10] M. Nottingham, E. Wilde and S. Dalal, “Problem details for HTTP APIs,” Internet Engineering Task Force, RFC 9457, 2023. [Online]. Available:</w:t>
      </w:r>
      <w:r>
        <w:t xml:space="preserve"> </w:t>
      </w:r>
      <w:hyperlink r:id="rId60">
        <w:r>
          <w:rPr>
            <w:rStyle w:val="Hyperlink"/>
          </w:rPr>
          <w:t xml:space="preserve">https://www.rfc-editor.org/rfc/rfc9457</w:t>
        </w:r>
      </w:hyperlink>
    </w:p>
    <w:p>
      <w:pPr>
        <w:pStyle w:val="BodyText"/>
      </w:pPr>
      <w:r>
        <w:t xml:space="preserve">[11] G. Hohpe and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and N. Sakimura, “JSON Web Token (JWT),” Internet Engineering Task Force, RFC 7519, 2015. [Online]. Available:</w:t>
      </w:r>
      <w:r>
        <w:t xml:space="preserve"> </w:t>
      </w:r>
      <w:hyperlink r:id="rId61">
        <w:r>
          <w:rPr>
            <w:rStyle w:val="Hyperlink"/>
          </w:rPr>
          <w:t xml:space="preserve">https://www.rfc-editor.org/rfc/rfc7519</w:t>
        </w:r>
      </w:hyperlink>
    </w:p>
    <w:p>
      <w:pPr>
        <w:pStyle w:val="BodyText"/>
      </w:pPr>
      <w:r>
        <w:t xml:space="preserve">[13] N. Provos and D. Mazières, “A future-adaptable password scheme,” in</w:t>
      </w:r>
      <w:r>
        <w:t xml:space="preserve"> </w:t>
      </w:r>
      <w:r>
        <w:rPr>
          <w:i/>
          <w:iCs/>
        </w:rPr>
        <w:t xml:space="preserve">Proc. 1999 USENIX Annual Technical Conference, FREENIX Track</w:t>
      </w:r>
      <w:r>
        <w:t xml:space="preserve">, 1999, pp. 81–91.</w:t>
      </w:r>
    </w:p>
    <w:p>
      <w:pPr>
        <w:pStyle w:val="BodyText"/>
      </w:pPr>
      <w:r>
        <w:t xml:space="preserve">[14] OWASP Foundation, “OWASP Top 10:2021,” 2021. [Online]. Available:</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[Online]. Available:</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and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and M. Urbano, “Documentation of Corrective, Preventive, and Improvement Actions for the Software: Vehicle Washing Management System (Vehicle Washing),” version 2.0, unpublished document, Servicio Nacional de Aprendizaje, 2026.</w:t>
      </w:r>
    </w:p>
    <w:p>
      <w:pPr>
        <w:pStyle w:val="BodyText"/>
      </w:pPr>
      <w:r>
        <w:t xml:space="preserve">[22] B. E. Patiño Cabrera, J. C. Guilombo Osorio and M. Urbano, “Technical Manual: Vehicle Washing Management System (Vehicle Washing),” version 4.0, unpublished document,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and J. Sutherland,</w:t>
      </w:r>
      <w:r>
        <w:t xml:space="preserve"> </w:t>
      </w:r>
      <w:r>
        <w:rPr>
          <w:i/>
          <w:iCs/>
        </w:rPr>
        <w:t xml:space="preserve">The Scrum Guide: The Definitive Guide to Scrum: The Rules of the Game</w:t>
      </w:r>
      <w:r>
        <w:t xml:space="preserve">, 2020. [Online]. Available:</w:t>
      </w:r>
      <w:r>
        <w:t xml:space="preserve"> </w:t>
      </w:r>
      <w:hyperlink r:id="rId64">
        <w:r>
          <w:rPr>
            <w:rStyle w:val="Hyperlink"/>
          </w:rPr>
          <w:t xml:space="preserve">https://scrumguides.org/scrum-guide.html</w:t>
        </w:r>
      </w:hyperlink>
    </w:p>
    <w:p>
      <w:pPr>
        <w:pStyle w:val="BodyText"/>
      </w:pPr>
      <w:r>
        <w:t xml:space="preserve">[27] Vehicle Washing Development Team,</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 2026.</w:t>
      </w:r>
    </w:p>
    <w:p>
      <w:pPr>
        <w:pStyle w:val="BodyText"/>
      </w:pPr>
      <w:r>
        <w:t xml:space="preserve">[28] B. E. Patiño Cabrera, J. C. Guilombo Osorio and M. Urbano, “Software Implementation Procedure: Vehicle Washing Management System (Vehicle Washing),” version 2.0, unpublished document, Servicio Nacional de Aprendizaje, 2026.</w:t>
      </w:r>
    </w:p>
    <w:bookmarkEnd w:id="105"/>
    <w:bookmarkStart w:id="107" w:name="appendix"/>
    <w:p>
      <w:pPr>
        <w:pStyle w:val="Heading2"/>
      </w:pPr>
      <w:r>
        <w:t xml:space="preserve">Appendix</w:t>
      </w:r>
    </w:p>
    <w:bookmarkStart w:id="106"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br/>
      </w: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V reports only what was run</w:t>
            </w:r>
          </w:p>
        </w:tc>
      </w:tr>
    </w:tbl>
    <w:p>
      <w:pPr>
        <w:pStyle w:val="BodyText"/>
      </w:pPr>
      <w:r>
        <w:rPr>
          <w:i/>
          <w:iCs/>
        </w:rPr>
        <w:t xml:space="preserve">Note.</w:t>
      </w:r>
      <w:r>
        <w:t xml:space="preserve"> </w:t>
      </w:r>
      <w:r>
        <w:t xml:space="preserve">Prepared by the authors from the review of the project folders.</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svg" /><Relationship Type="http://schemas.openxmlformats.org/officeDocument/2006/relationships/image" Id="rId38" Target="media/rId38.svg" /><Relationship Type="http://schemas.openxmlformats.org/officeDocument/2006/relationships/image" Id="rId91" Target="media/rId91.svg" /><Relationship Type="http://schemas.openxmlformats.org/officeDocument/2006/relationships/image" Id="rId42" Target="media/rId42.svg" /><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2026-10-19T18:38:34Z</dcterms:created>
  <dcterms:modified xsi:type="dcterms:W3CDTF">2026-10-19T18:38:34Z</dcterms:modified>
</cp:coreProperties>
</file>

<file path=docProps/custom.xml><?xml version="1.0" encoding="utf-8"?>
<Properties xmlns="http://schemas.openxmlformats.org/officeDocument/2006/custom-properties" xmlns:vt="http://schemas.openxmlformats.org/officeDocument/2006/docPropsVTypes"/>
</file>