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svg" ContentType="image/svg+xml"/>
  <Override PartName="/word/media/rId38.svg" ContentType="image/svg+xml"/>
  <Override PartName="/word/media/rId97.svg" ContentType="image/svg+xml"/>
  <Override PartName="/word/media/rId42.svg" ContentType="image/svg+xml"/>
  <Override PartName="/word/media/rId93.svg" ContentType="image/svg+xml"/>
  <Override PartName="/word/media/rId38.svg" ContentType="image/svg+xml"/>
  <Override PartName="/word/media/rId97.svg" ContentType="image/svg+xml"/>
  <Override PartName="/word/media/rId42.svg" ContentType="image/svg+xml"/>
  <Override PartName="/word/media/rId93.png" ContentType="image/png"/>
  <Override PartName="/word/media/rId38.png" ContentType="image/png"/>
  <Override PartName="/word/media/rId97.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rPr>
          <w:b/>
          <w:bCs/>
        </w:rPr>
        <w:t xml:space="preserve">Brayan Estiven Patiño Cabrera</w:t>
      </w:r>
      <w:r>
        <w:t xml:space="preserve"> </w:t>
      </w:r>
      <w:r>
        <w:t xml:space="preserve">— Servicio Nacional de Aprendizaje (SENA), Regional Huila, Colombia</w:t>
      </w:r>
      <w:r>
        <w:br/>
      </w:r>
      <w:r>
        <w:rPr>
          <w:b/>
          <w:bCs/>
        </w:rPr>
        <w:t xml:space="preserve">Juan Camilo Guilombo Osorio</w:t>
      </w:r>
      <w:r>
        <w:t xml:space="preserve"> </w:t>
      </w:r>
      <w:r>
        <w:t xml:space="preserve">— Servicio Nacional de Aprendizaje (SENA), Regional Huila, Colombia</w:t>
      </w:r>
      <w:r>
        <w:br/>
      </w:r>
      <w:r>
        <w:rPr>
          <w:b/>
          <w:bCs/>
        </w:rPr>
        <w:t xml:space="preserve">Merari Urbano Quintero</w:t>
      </w:r>
      <w:r>
        <w:t xml:space="preserve"> </w:t>
      </w:r>
      <w:r>
        <w:t xml:space="preserve">— Servicio Nacional de Aprendizaje (SENA), Regional Huila, Colombia</w:t>
      </w:r>
    </w:p>
    <w:p>
      <w:pPr>
        <w:pStyle w:val="BodyText"/>
      </w:pPr>
      <w:r>
        <w:rPr>
          <w:i/>
          <w:iCs/>
        </w:rPr>
        <w:t xml:space="preserve">Tecnólogo en Análisis y Desarrollo de Software (ADSO), ficha 3145556. Instructora: Karol Daniela Correa. 16 de octubre de 2026.</w:t>
      </w:r>
    </w:p>
    <w:p>
      <w:pPr>
        <w:pStyle w:val="BodyText"/>
      </w:pPr>
      <w:r>
        <w:rPr>
          <w:b/>
          <w:bCs/>
        </w:rPr>
        <w:t xml:space="preserve">Resumen.</w:t>
      </w:r>
      <w:r>
        <w:t xml:space="preserve"> </w:t>
      </w: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El 19 de octubre de 2026 se ejecutaron 655 pruebas automatizadas, todas aprobadas (incluidas 7 de persistencia contra una base aislada), y 19 pruebas de punta a punta y 42 casos funcionales contra el sistema completo,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rPr>
        <w:t xml:space="preserve">Palabras clave:</w:t>
      </w:r>
      <w:r>
        <w:t xml:space="preserve"> </w:t>
      </w:r>
      <w:r>
        <w:t xml:space="preserve">microservicios, arquitectura hexagonal, sistema de reservas, lavado vehicular, pagos con código QR, documentación de diseño de software</w:t>
      </w:r>
    </w:p>
    <w:bookmarkStart w:id="24" w:name="X0e2973c2e3c317285bf344b2034a52754788c6d"/>
    <w:p>
      <w:pPr>
        <w:pStyle w:val="Heading2"/>
      </w:pPr>
      <w:r>
        <w:t xml:space="preserve">1.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X1abb4a35b52bba8fd91b7674b2b768a3baa50d0"/>
    <w:p>
      <w:pPr>
        <w:pStyle w:val="Heading3"/>
      </w:pPr>
      <w:r>
        <w:t xml:space="preserve">1.1.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X5ac329db4b54135b5a51f5a6e7aa40af5a8128c"/>
    <w:p>
      <w:pPr>
        <w:pStyle w:val="Heading3"/>
      </w:pPr>
      <w:r>
        <w:t xml:space="preserve">1.2.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Xf75571a85dfa7bc1c38d5cb0ac324d03e00f515"/>
    <w:p>
      <w:pPr>
        <w:pStyle w:val="Heading3"/>
      </w:pPr>
      <w:r>
        <w:t xml:space="preserve">1.3. Objetivos</w:t>
      </w:r>
    </w:p>
    <w:p>
      <w:pPr>
        <w:pStyle w:val="FirstParagraph"/>
      </w:pPr>
      <w:r>
        <w:t xml:space="preserve">Los objetivos vigentes del proyecto están en la versión 7.0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Xe4f239e686e2f8b6ea73e3ba7a5513215dd5053"/>
    <w:p>
      <w:pPr>
        <w:pStyle w:val="Heading3"/>
      </w:pPr>
      <w:r>
        <w:t xml:space="preserve">1.4.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X1d573109f5b13e06937acd09ed51397714a8794"/>
    <w:p>
      <w:pPr>
        <w:pStyle w:val="Heading2"/>
      </w:pPr>
      <w:r>
        <w:t xml:space="preserve">2.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f06e19d4f63c00e1dddb7a193338e9f82f72b6a"/>
    <w:p>
      <w:pPr>
        <w:pStyle w:val="Heading3"/>
      </w:pPr>
      <w:r>
        <w:t xml:space="preserve">2.1.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5"/>
    <w:bookmarkStart w:id="26" w:name="X300531460f4e257a5a9387989d7c94537266780"/>
    <w:p>
      <w:pPr>
        <w:pStyle w:val="Heading3"/>
      </w:pPr>
      <w:r>
        <w:t xml:space="preserve">2.2.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6"/>
    <w:bookmarkStart w:id="27" w:name="X8bb9dfafeb59dc5594de4ae4cb41a4888c98fce"/>
    <w:p>
      <w:pPr>
        <w:pStyle w:val="Heading3"/>
      </w:pPr>
      <w:r>
        <w:t xml:space="preserve">2.3. 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and Woolf 2003].</w:t>
      </w:r>
    </w:p>
    <w:bookmarkEnd w:id="27"/>
    <w:bookmarkStart w:id="28" w:name="Xdd0cfa2ecfbd3a5dbfc2ae8b7cb2c03b8b19265"/>
    <w:p>
      <w:pPr>
        <w:pStyle w:val="Heading3"/>
      </w:pPr>
      <w:r>
        <w:t xml:space="preserve">2.4. 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and Mazières 1999]. La lista OWASP Top 10 sirve como referencia para revisar los riesgos más comunes de las aplicaciones web [OWASP Foundation 2021].</w:t>
      </w:r>
    </w:p>
    <w:bookmarkEnd w:id="28"/>
    <w:bookmarkStart w:id="29" w:name="X6ee5b7222617e1ba7acbf06c4cdea7b6677c303"/>
    <w:p>
      <w:pPr>
        <w:pStyle w:val="Heading3"/>
      </w:pPr>
      <w:r>
        <w:t xml:space="preserve">2.5. Gestión de la Calidad del Software</w:t>
      </w:r>
    </w:p>
    <w:p>
      <w:pPr>
        <w:pStyle w:val="FirstParagraph"/>
      </w:pPr>
      <w:r>
        <w:t xml:space="preserve">El proyecto toma como marco de sus acciones correctivas, preventivas y de mejora los procesos de mantenimiento y aseguramiento de la calidad de la ISO/IEC/IEEE 12207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29"/>
    <w:bookmarkEnd w:id="30"/>
    <w:bookmarkStart w:id="37" w:name="X62a4cddba2de99e84e40798804ede4c429b33ec"/>
    <w:p>
      <w:pPr>
        <w:pStyle w:val="Heading2"/>
      </w:pPr>
      <w:r>
        <w:t xml:space="preserve">3. Método</w:t>
      </w:r>
    </w:p>
    <w:bookmarkStart w:id="31" w:name="X7e5047aba25b852a832b3cf3000a4a86e5564bd"/>
    <w:p>
      <w:pPr>
        <w:pStyle w:val="Heading3"/>
      </w:pPr>
      <w:r>
        <w:t xml:space="preserve">3.1.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Patiño Cabrera et al. 2026b]. La SRS, en su versión 7.0, sigue la estructura de IEEE 830 [IEEE 1998] y los contenidos de ISO/IEC/IEEE 29148 [ISO/IEC/IEEE 2018], y define 41 requisitos funcionales, 12 requisitos no funcionales clasificados según el modelo de calidad de ISO/IEC 25010 [ISO/IEC 2023], 32 casos de uso y una matriz de trazabilidad con el estado de cada requisito [Guilombo Osorio et al. 2026].</w:t>
      </w:r>
    </w:p>
    <w:bookmarkEnd w:id="31"/>
    <w:bookmarkStart w:id="32" w:name="Xc7aef20afb5f3f5b7e158d2667e663284ce2f94"/>
    <w:p>
      <w:pPr>
        <w:pStyle w:val="Heading3"/>
      </w:pPr>
      <w:r>
        <w:t xml:space="preserve">3.2.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2"/>
    <w:bookmarkStart w:id="33" w:name="Xfca14850ce9f204c8e06a79945a3d926cb6f2ac"/>
    <w:p>
      <w:pPr>
        <w:pStyle w:val="Heading3"/>
      </w:pPr>
      <w:r>
        <w:t xml:space="preserve">3.3.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and Sutherland 2020] al calendario académico. La instructora técnica actuó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f09e2edf0e297b219bd4573c34f928f11c3a1eb"/>
    <w:p>
      <w:pPr>
        <w:pStyle w:val="Heading3"/>
      </w:pPr>
      <w:r>
        <w:t xml:space="preserve">3.4.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4"/>
    <w:bookmarkStart w:id="35" w:name="Xab4278cd13e4e59ecfd1f54a8742be23679df9e"/>
    <w:p>
      <w:pPr>
        <w:pStyle w:val="Heading3"/>
      </w:pPr>
      <w:r>
        <w:t xml:space="preserve">3.5. Herramientas</w:t>
      </w:r>
    </w:p>
    <w:p>
      <w:pPr>
        <w:pStyle w:val="FirstParagraph"/>
      </w:pPr>
      <w:r>
        <w:t xml:space="preserve">La Tabla 1 resume la pila tecnológica, tomada de los archivos de construcción de cada repositorio.</w:t>
      </w:r>
    </w:p>
    <w:p>
      <w:pPr>
        <w:pStyle w:val="BodyText"/>
      </w:pPr>
      <w:r>
        <w:rPr>
          <w:b/>
          <w:bCs/>
        </w:rPr>
        <w:t xml:space="preserve">Tabla 1.</w:t>
      </w:r>
      <w:r>
        <w:t xml:space="preserve"> </w:t>
      </w:r>
      <w: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5"/>
    <w:bookmarkStart w:id="36" w:name="X5a6a203b9ad95d50a083171a75562ea8304f624"/>
    <w:p>
      <w:pPr>
        <w:pStyle w:val="Heading3"/>
      </w:pPr>
      <w:r>
        <w:t xml:space="preserve">3.6. Procedimiento de Análisis</w:t>
      </w:r>
    </w:p>
    <w:p>
      <w:pPr>
        <w:pStyle w:val="FirstParagraph"/>
      </w:pPr>
      <w:r>
        <w:t xml:space="preserve">El estado de los requisitos se tomó de la matriz de trazabilidad de la SRS, verificada contra el código el 16 de octubre de 2026 [Guilombo Osorio et al. 2026]. Las pruebas se volvieron a ejecutar el 19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y los 42 casos funcionales contra el sistema completo.</w:t>
      </w:r>
    </w:p>
    <w:bookmarkEnd w:id="36"/>
    <w:bookmarkEnd w:id="37"/>
    <w:bookmarkStart w:id="52" w:name="X2be0ec436b9d44a13ce4d702f665fb64644a95f"/>
    <w:p>
      <w:pPr>
        <w:pStyle w:val="Heading2"/>
      </w:pPr>
      <w:r>
        <w:t xml:space="preserve">4. Resultados</w:t>
      </w:r>
    </w:p>
    <w:bookmarkStart w:id="41" w:name="Xd7563c0cc2dfb108956e2ef2d42453bc05dde2e"/>
    <w:p>
      <w:pPr>
        <w:pStyle w:val="Heading3"/>
      </w:pPr>
      <w:r>
        <w:t xml:space="preserve">4.1. 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drawing>
          <wp:inline>
            <wp:extent cx="5334000" cy="3667125"/>
            <wp:effectExtent b="0" l="0" r="0" t="0"/>
            <wp:docPr descr="Diagrama de Contenedores del Sistema" title="" id="39" name="Picture"/>
            <a:graphic>
              <a:graphicData uri="http://schemas.openxmlformats.org/drawingml/2006/picture">
                <pic:pic>
                  <pic:nvPicPr>
                    <pic:cNvPr descr="capturas/arquitectura_e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Diagrama de Contenedores del Sistema</w:t>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r>
        <w:t xml:space="preserve"> </w:t>
      </w:r>
      <w: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1"/>
    <w:bookmarkStart w:id="45" w:name="X84128c5cc3059c079fe8535198dbebfb7037f7b"/>
    <w:p>
      <w:pPr>
        <w:pStyle w:val="Heading3"/>
      </w:pPr>
      <w:r>
        <w:t xml:space="preserve">4.2. 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r>
        <w:t xml:space="preserve"> </w:t>
      </w:r>
      <w: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drawing>
          <wp:inline>
            <wp:extent cx="5334000" cy="2580967"/>
            <wp:effectExtent b="0" l="0" r="0" t="0"/>
            <wp:docPr descr="Diagrama de Estados de la Reserva" title="" id="43" name="Picture"/>
            <a:graphic>
              <a:graphicData uri="http://schemas.openxmlformats.org/drawingml/2006/picture">
                <pic:pic>
                  <pic:nvPicPr>
                    <pic:cNvPr descr="capturas/estados_reserva_es.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5"/>
    <w:bookmarkStart w:id="46" w:name="X47fabc0e719fcb1305c896607d75c9de7687acb"/>
    <w:p>
      <w:pPr>
        <w:pStyle w:val="Heading3"/>
      </w:pPr>
      <w:r>
        <w:t xml:space="preserve">4.3.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r>
        <w:t xml:space="preserve"> </w:t>
      </w:r>
      <w: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7.0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Xd4b370ddf62d7a3903ea24ad12e8e5d426aa77e"/>
    <w:p>
      <w:pPr>
        <w:pStyle w:val="Heading3"/>
      </w:pPr>
      <w:r>
        <w:t xml:space="preserve">4.4. Resultados de las Pruebas</w:t>
      </w:r>
    </w:p>
    <w:p>
      <w:pPr>
        <w:pStyle w:val="FirstParagraph"/>
      </w:pPr>
      <w:r>
        <w:t xml:space="preserve">El 19 de octubre de 2026 se ejecutaron todas las suites automatizadas: 655 pruebas aprobadas, ninguna fallida ni omitida; las 7 pruebas de persistencia de payment-service corrieron contra una base de pruebas aislada (Tabla 5).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r>
        <w:t xml:space="preserve"> </w:t>
      </w:r>
      <w:r>
        <w:t xml:space="preserve">Resultados de la Ejecución de las Pruebas Automatizadas (19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X825097cea6c7c12bb6dfcae137f8cad096974d2"/>
    <w:p>
      <w:pPr>
        <w:pStyle w:val="Heading3"/>
      </w:pPr>
      <w:r>
        <w:t xml:space="preserve">4.5. 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r>
        <w:t xml:space="preserve"> </w:t>
      </w:r>
      <w: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8"/>
    <w:bookmarkStart w:id="49" w:name="Xab477f653429fcdf7c0153c0753c5565c211eec"/>
    <w:p>
      <w:pPr>
        <w:pStyle w:val="Heading3"/>
      </w:pPr>
      <w:r>
        <w:t xml:space="preserve">4.6. 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49"/>
    <w:bookmarkStart w:id="50" w:name="X7f50353bd9359919b98ff242d1a8da15b46e3fa"/>
    <w:p>
      <w:pPr>
        <w:pStyle w:val="Heading3"/>
      </w:pPr>
      <w:r>
        <w:t xml:space="preserve">4.7.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r>
        <w:t xml:space="preserve"> </w:t>
      </w:r>
      <w: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0"/>
    <w:bookmarkStart w:id="51" w:name="Xf1396d30da99977c32aaeb5855aabf45d98f6b7"/>
    <w:p>
      <w:pPr>
        <w:pStyle w:val="Heading3"/>
      </w:pPr>
      <w:r>
        <w:t xml:space="preserve">4.8.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1"/>
    <w:bookmarkEnd w:id="52"/>
    <w:bookmarkStart w:id="54" w:name="X783c2fb12898934028b780f427e5a76e39b8188"/>
    <w:p>
      <w:pPr>
        <w:pStyle w:val="Heading2"/>
      </w:pPr>
      <w:r>
        <w:t xml:space="preserve">5.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648 de las 655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3" w:name="Xfd2ac4d8d5b41740b6aa9eb2b1ff4db0c916a1a"/>
    <w:p>
      <w:pPr>
        <w:pStyle w:val="Heading3"/>
      </w:pPr>
      <w:r>
        <w:t xml:space="preserve">5.1.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3"/>
    <w:bookmarkEnd w:id="54"/>
    <w:bookmarkStart w:id="55" w:name="X1a5d9f0519642c4f8fc2c951c686d47b3ceedd6"/>
    <w:p>
      <w:pPr>
        <w:pStyle w:val="Heading2"/>
      </w:pPr>
      <w:r>
        <w:t xml:space="preserve">6.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655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5"/>
    <w:bookmarkStart w:id="71" w:name="referencias"/>
    <w:p>
      <w:pPr>
        <w:pStyle w:val="Heading2"/>
      </w:pPr>
      <w:r>
        <w:t xml:space="preserve">Referencias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Tesis doctoral.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7.0). Documento no publicado.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(2.ª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Documento no publicado. Servicio Nacional de Aprendizaje.</w:t>
      </w:r>
    </w:p>
    <w:p>
      <w:pPr>
        <w:pStyle w:val="BodyText"/>
      </w:pPr>
      <w:r>
        <w:t xml:space="preserve">Brayan Estiven Patiño Cabrera, Juan Camilo Guilombo Osorio, and Merari Urbano.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Brayan Estiven Patiño Cabrera, Juan Camilo Guilombo Osorio, and Merari Urbano.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Brayan Estiven Patiño Cabrera, Juan Camilo Guilombo Osorio, and Merari Urbano.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bookmarkEnd w:id="71"/>
    <w:bookmarkStart w:id="73" w:name="apéndice"/>
    <w:p>
      <w:pPr>
        <w:pStyle w:val="Heading2"/>
      </w:pPr>
      <w:r>
        <w:t xml:space="preserve">Apéndice</w:t>
      </w:r>
    </w:p>
    <w:bookmarkStart w:id="72"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t xml:space="preserve"> </w:t>
      </w:r>
      <w: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72"/>
    <w:bookmarkEnd w:id="73"/>
    <w:bookmarkEnd w:id="74"/>
    <w:bookmarkStart w:id="114" w:name="X09ce14ca71d2e73acb5661bf6e511b22db7ad4f"/>
    <w:p>
      <w:pPr>
        <w:pStyle w:val="Heading1"/>
      </w:pPr>
      <w:r>
        <w:t xml:space="preserve">Design and Implementation of a Microservices Platform for Booking, Operations, and Verified Payment Management at a Car Wash</w:t>
      </w:r>
    </w:p>
    <w:p>
      <w:pPr>
        <w:pStyle w:val="FirstParagraph"/>
      </w:pPr>
      <w:r>
        <w:rPr>
          <w:b/>
          <w:bCs/>
        </w:rPr>
        <w:t xml:space="preserve">Brayan Estiven Patiño Cabrera</w:t>
      </w:r>
      <w:r>
        <w:t xml:space="preserve"> </w:t>
      </w:r>
      <w:r>
        <w:t xml:space="preserve">— Servicio Nacional de Aprendizaje (SENA), Huila Regional Office, Colombia</w:t>
      </w:r>
      <w:r>
        <w:br/>
      </w:r>
      <w:r>
        <w:rPr>
          <w:b/>
          <w:bCs/>
        </w:rPr>
        <w:t xml:space="preserve">Juan Camilo Guilombo Osorio</w:t>
      </w:r>
      <w:r>
        <w:t xml:space="preserve"> </w:t>
      </w:r>
      <w:r>
        <w:t xml:space="preserve">— Servicio Nacional de Aprendizaje (SENA), Huila Regional Office, Colombia</w:t>
      </w:r>
      <w:r>
        <w:br/>
      </w:r>
      <w:r>
        <w:rPr>
          <w:b/>
          <w:bCs/>
        </w:rPr>
        <w:t xml:space="preserve">Merari Urbano Quintero</w:t>
      </w:r>
      <w:r>
        <w:t xml:space="preserve"> </w:t>
      </w:r>
      <w:r>
        <w:t xml:space="preserve">— Servicio Nacional de Aprendizaje (SENA), Huila Regional Office, Colombia</w:t>
      </w:r>
    </w:p>
    <w:p>
      <w:pPr>
        <w:pStyle w:val="BodyText"/>
      </w:pPr>
      <w:r>
        <w:rPr>
          <w:i/>
          <w:iCs/>
        </w:rPr>
        <w:t xml:space="preserve">Technologist in Software Analysis and Development (ADSO), Ficha 3145556. Instructor: Karol Daniela Correa. October 16, 2026.</w:t>
      </w:r>
    </w:p>
    <w:p>
      <w:pPr>
        <w:pStyle w:val="BodyText"/>
      </w:pPr>
      <w:r>
        <w:rPr>
          <w:b/>
          <w:bCs/>
        </w:rPr>
        <w:t xml:space="preserve">Abstract.</w:t>
      </w:r>
      <w:r>
        <w:t xml:space="preserve"> </w:t>
      </w: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On October 19, 2026, 655 automated tests were run and all passed (including 7 persistence tests against an isolated database), and 19 end-to-end tests and 42 functional cases against the complete system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rPr>
        <w:t xml:space="preserve">Keywords:</w:t>
      </w:r>
      <w:r>
        <w:t xml:space="preserve"> </w:t>
      </w:r>
      <w:r>
        <w:t xml:space="preserve">microservices, hexagonal architecture, booking system, car wash, QR code payments, software design documentation</w:t>
      </w:r>
    </w:p>
    <w:bookmarkStart w:id="79" w:name="Xe3d0fc0bea9a42ce7605565d0964033d7f6ee47"/>
    <w:p>
      <w:pPr>
        <w:pStyle w:val="Heading2"/>
      </w:pPr>
      <w:r>
        <w:t xml:space="preserve">1.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5" w:name="X8ed7113c30baefd0a0d5373f9e8fb0f217861be"/>
    <w:p>
      <w:pPr>
        <w:pStyle w:val="Heading3"/>
      </w:pPr>
      <w:r>
        <w:t xml:space="preserve">1.1.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5"/>
    <w:bookmarkStart w:id="76" w:name="X3cd3d9bba8da4d7c354a4e022d35780446c2c58"/>
    <w:p>
      <w:pPr>
        <w:pStyle w:val="Heading3"/>
      </w:pPr>
      <w:r>
        <w:t xml:space="preserve">1.2.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6"/>
    <w:bookmarkStart w:id="77" w:name="X20170cc6f1120ca210884b45e182ac79340b39a"/>
    <w:p>
      <w:pPr>
        <w:pStyle w:val="Heading3"/>
      </w:pPr>
      <w:r>
        <w:t xml:space="preserve">1.3. Objectives</w:t>
      </w:r>
    </w:p>
    <w:p>
      <w:pPr>
        <w:pStyle w:val="FirstParagraph"/>
      </w:pPr>
      <w:r>
        <w:t xml:space="preserve">The current project objectives are stated in version 7.0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7"/>
    <w:bookmarkStart w:id="78" w:name="X48fd30616645779094f626f6ae898107fc4fd3b"/>
    <w:p>
      <w:pPr>
        <w:pStyle w:val="Heading3"/>
      </w:pPr>
      <w:r>
        <w:t xml:space="preserve">1.4.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8"/>
    <w:bookmarkEnd w:id="79"/>
    <w:bookmarkStart w:id="85" w:name="X7cfc27aa22c83c22675a72b9de6e2da42abc807"/>
    <w:p>
      <w:pPr>
        <w:pStyle w:val="Heading2"/>
      </w:pPr>
      <w:r>
        <w:t xml:space="preserve">2.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0" w:name="Xc5587ca0e062672463c80a6a2616d68954db6bc"/>
    <w:p>
      <w:pPr>
        <w:pStyle w:val="Heading3"/>
      </w:pPr>
      <w:r>
        <w:t xml:space="preserve">2.1. 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0"/>
    <w:bookmarkStart w:id="81" w:name="X78b9433d4d8df55805c0fcec9e3ac6dbe3bb12e"/>
    <w:p>
      <w:pPr>
        <w:pStyle w:val="Heading3"/>
      </w:pPr>
      <w:r>
        <w:t xml:space="preserve">2.2.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1"/>
    <w:bookmarkStart w:id="82" w:name="X5469a4be28513cb857c0fe287a3646c7f79963a"/>
    <w:p>
      <w:pPr>
        <w:pStyle w:val="Heading3"/>
      </w:pPr>
      <w:r>
        <w:t xml:space="preserve">2.3. 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and Woolf 2003].</w:t>
      </w:r>
    </w:p>
    <w:bookmarkEnd w:id="82"/>
    <w:bookmarkStart w:id="83" w:name="Xc8a8d10b2971f837d13d4311a9e84078193a977"/>
    <w:p>
      <w:pPr>
        <w:pStyle w:val="Heading3"/>
      </w:pPr>
      <w:r>
        <w:t xml:space="preserve">2.4. 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and Mazières 1999]. The OWASP Top 10 list serves as a reference for reviewing the most common web application risks [OWASP Foundation 2021].</w:t>
      </w:r>
    </w:p>
    <w:bookmarkEnd w:id="83"/>
    <w:bookmarkStart w:id="84" w:name="Xe0126559163e432d3480b68181ab5e83bdffba9"/>
    <w:p>
      <w:pPr>
        <w:pStyle w:val="Heading3"/>
      </w:pPr>
      <w:r>
        <w:t xml:space="preserve">2.5. Software Quality Management</w:t>
      </w:r>
    </w:p>
    <w:p>
      <w:pPr>
        <w:pStyle w:val="FirstParagraph"/>
      </w:pPr>
      <w:r>
        <w:t xml:space="preserve">The project frames its corrective, preventive, and improvement actions within the maintenance and quality assurance processes of ISO/IEC/IEEE 12207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4"/>
    <w:bookmarkEnd w:id="85"/>
    <w:bookmarkStart w:id="92" w:name="Xeae2dc85413e447d2c08d145b986cffc1f454f7"/>
    <w:p>
      <w:pPr>
        <w:pStyle w:val="Heading2"/>
      </w:pPr>
      <w:r>
        <w:t xml:space="preserve">3. Method</w:t>
      </w:r>
    </w:p>
    <w:bookmarkStart w:id="86" w:name="X8e3be7eb6a395ae84da32356f743cbd7fcca842"/>
    <w:p>
      <w:pPr>
        <w:pStyle w:val="Heading3"/>
      </w:pPr>
      <w:r>
        <w:t xml:space="preserve">3.1.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Patiño Cabrera et al. 2026c]. Version 7.0 of the SRS follows the structure of IEEE 830 [IEEE 1998] and the contents of ISO/IEC/IEEE 29148 [ISO/IEC/IEEE 2018], and defines 41 functional requirements, 12 non-functional requirements classified according to the ISO/IEC 25010 quality model [ISO/IEC 2023], 32 use cases, and a traceability matrix with the status of each requirement [Guilombo Osorio et al. 2026].</w:t>
      </w:r>
    </w:p>
    <w:bookmarkEnd w:id="86"/>
    <w:bookmarkStart w:id="87" w:name="X398ddd02d2b12d4edd1591845f94090fc7f49b0"/>
    <w:p>
      <w:pPr>
        <w:pStyle w:val="Heading3"/>
      </w:pPr>
      <w:r>
        <w:t xml:space="preserve">3.2.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7"/>
    <w:bookmarkStart w:id="88" w:name="Xe88b1728e2616aa968978651922acbc1ac63fa5"/>
    <w:p>
      <w:pPr>
        <w:pStyle w:val="Heading3"/>
      </w:pPr>
      <w:r>
        <w:t xml:space="preserve">3.3.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and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8"/>
    <w:bookmarkStart w:id="89" w:name="X4014a645527a34beb663703f9ccad578702c017"/>
    <w:p>
      <w:pPr>
        <w:pStyle w:val="Heading3"/>
      </w:pPr>
      <w:r>
        <w:t xml:space="preserve">3.4.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89"/>
    <w:bookmarkStart w:id="90" w:name="Xa1bfe30451587f4492d773e70239c0408f33761"/>
    <w:p>
      <w:pPr>
        <w:pStyle w:val="Heading3"/>
      </w:pPr>
      <w:r>
        <w:t xml:space="preserve">3.5. Tools</w:t>
      </w:r>
    </w:p>
    <w:p>
      <w:pPr>
        <w:pStyle w:val="FirstParagraph"/>
      </w:pPr>
      <w:r>
        <w:t xml:space="preserve">Table 1 summarizes the technology stack, taken from the build files of each repository.</w:t>
      </w:r>
    </w:p>
    <w:p>
      <w:pPr>
        <w:pStyle w:val="BodyText"/>
      </w:pPr>
      <w:r>
        <w:rPr>
          <w:b/>
          <w:bCs/>
        </w:rPr>
        <w:t xml:space="preserve">Table 1.</w:t>
      </w:r>
      <w:r>
        <w:t xml:space="preserve"> </w:t>
      </w:r>
      <w: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0"/>
    <w:bookmarkStart w:id="91" w:name="X86a7e6b8a5e5d90d94d61053a930d62fd0bdf14"/>
    <w:p>
      <w:pPr>
        <w:pStyle w:val="Heading3"/>
      </w:pPr>
      <w:r>
        <w:t xml:space="preserve">3.6. Analysis Procedure</w:t>
      </w:r>
    </w:p>
    <w:p>
      <w:pPr>
        <w:pStyle w:val="FirstParagraph"/>
      </w:pPr>
      <w:r>
        <w:t xml:space="preserve">The status of the requirements was taken from the SRS traceability matrix, verified against the code on October 16, 2026 [Guilombo Osorio et al. 2026]. The tests were run again on October 19,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and the 42 functional cases against the complete system.</w:t>
      </w:r>
    </w:p>
    <w:bookmarkEnd w:id="91"/>
    <w:bookmarkEnd w:id="92"/>
    <w:bookmarkStart w:id="107" w:name="X121719332867ee227f0a04b486098cee978c6e6"/>
    <w:p>
      <w:pPr>
        <w:pStyle w:val="Heading2"/>
      </w:pPr>
      <w:r>
        <w:t xml:space="preserve">4. Results</w:t>
      </w:r>
    </w:p>
    <w:bookmarkStart w:id="96" w:name="X533897e566e3ed192d5f08f15b246ab6a60ab4f"/>
    <w:p>
      <w:pPr>
        <w:pStyle w:val="Heading3"/>
      </w:pPr>
      <w:r>
        <w:t xml:space="preserve">4.1. 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drawing>
          <wp:inline>
            <wp:extent cx="5334000" cy="3667125"/>
            <wp:effectExtent b="0" l="0" r="0" t="0"/>
            <wp:docPr descr="System Container Diagram" title="" id="94" name="Picture"/>
            <a:graphic>
              <a:graphicData uri="http://schemas.openxmlformats.org/drawingml/2006/picture">
                <pic:pic>
                  <pic:nvPicPr>
                    <pic:cNvPr descr="capturas/arquitectura_en.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System Container Diagram</w:t>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r>
        <w:t xml:space="preserve"> </w:t>
      </w:r>
      <w: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6"/>
    <w:bookmarkStart w:id="100" w:name="X38b25a360319f5c9cad80570695adc102bc22e8"/>
    <w:p>
      <w:pPr>
        <w:pStyle w:val="Heading3"/>
      </w:pPr>
      <w:r>
        <w:t xml:space="preserve">4.2. 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r>
        <w:t xml:space="preserve"> </w:t>
      </w:r>
      <w: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drawing>
          <wp:inline>
            <wp:extent cx="5334000" cy="2580967"/>
            <wp:effectExtent b="0" l="0" r="0" t="0"/>
            <wp:docPr descr="Booking State Diagram" title="" id="98" name="Picture"/>
            <a:graphic>
              <a:graphicData uri="http://schemas.openxmlformats.org/drawingml/2006/picture">
                <pic:pic>
                  <pic:nvPicPr>
                    <pic:cNvPr descr="capturas/estados_reserva_en.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Booking State Diagram</w:t>
      </w:r>
    </w:p>
    <w:p>
      <w:pPr>
        <w:pStyle w:val="BodyText"/>
      </w:pPr>
      <w:r>
        <w:rPr>
          <w:i/>
          <w:iCs/>
        </w:rPr>
        <w:t xml:space="preserve">Note.</w:t>
      </w:r>
      <w:r>
        <w:t xml:space="preserve"> </w:t>
      </w:r>
      <w:r>
        <w:t xml:space="preserve">Gray states are final. Taken from the technical manual [Patiño Cabrera et al. 2026c].</w:t>
      </w:r>
    </w:p>
    <w:bookmarkEnd w:id="100"/>
    <w:bookmarkStart w:id="101" w:name="X2365028b7865a0df5307e455ee6b98a72a178ce"/>
    <w:p>
      <w:pPr>
        <w:pStyle w:val="Heading3"/>
      </w:pPr>
      <w:r>
        <w:t xml:space="preserve">4.3.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r>
        <w:t xml:space="preserve"> </w:t>
      </w:r>
      <w: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7.0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1"/>
    <w:bookmarkStart w:id="102" w:name="Xfcb6062f48bc36f5088cdac7c68e444647eb4de"/>
    <w:p>
      <w:pPr>
        <w:pStyle w:val="Heading3"/>
      </w:pPr>
      <w:r>
        <w:t xml:space="preserve">4.4. Test Results</w:t>
      </w:r>
    </w:p>
    <w:p>
      <w:pPr>
        <w:pStyle w:val="FirstParagraph"/>
      </w:pPr>
      <w:r>
        <w:t xml:space="preserve">On October 19, 2026, all the automated suites were run: 655 tests passed, none failed or skipped; the 7 payment-service persistence tests ran against an isolated test database (Table 5).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r>
        <w:t xml:space="preserve"> </w:t>
      </w:r>
      <w:r>
        <w:t xml:space="preserve">Results of the Automated Test Run (October 19,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2"/>
    <w:bookmarkStart w:id="103" w:name="X6c5d11b3a02e19781569c7ac48d03c1e42a650b"/>
    <w:p>
      <w:pPr>
        <w:pStyle w:val="Heading3"/>
      </w:pPr>
      <w:r>
        <w:t xml:space="preserve">4.5. 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r>
        <w:t xml:space="preserve"> </w:t>
      </w:r>
      <w: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3"/>
    <w:bookmarkStart w:id="104" w:name="X6acbe47c120a1d061e7c092a24af31e972a4e3d"/>
    <w:p>
      <w:pPr>
        <w:pStyle w:val="Heading3"/>
      </w:pPr>
      <w:r>
        <w:t xml:space="preserve">4.6. 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4"/>
    <w:bookmarkStart w:id="105" w:name="Xaed80d5f1656425517dbc000ac39f0d719a939b"/>
    <w:p>
      <w:pPr>
        <w:pStyle w:val="Heading3"/>
      </w:pPr>
      <w:r>
        <w:t xml:space="preserve">4.7.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r>
        <w:t xml:space="preserve"> </w:t>
      </w:r>
      <w: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5"/>
    <w:bookmarkStart w:id="106" w:name="Xdca1eec85df2e042ac7aaaab7791de17451db6c"/>
    <w:p>
      <w:pPr>
        <w:pStyle w:val="Heading3"/>
      </w:pPr>
      <w:r>
        <w:t xml:space="preserve">4.8.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6"/>
    <w:bookmarkEnd w:id="107"/>
    <w:bookmarkStart w:id="109" w:name="X735612638e4e736e4693e459c258977262c0dfc"/>
    <w:p>
      <w:pPr>
        <w:pStyle w:val="Heading2"/>
      </w:pPr>
      <w:r>
        <w:t xml:space="preserve">5.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648 of the 655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08" w:name="Xd3d5b9d52522a60c58fbfa7a100ce3b5fe6ed92"/>
    <w:p>
      <w:pPr>
        <w:pStyle w:val="Heading3"/>
      </w:pPr>
      <w:r>
        <w:t xml:space="preserve">5.1.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08"/>
    <w:bookmarkEnd w:id="109"/>
    <w:bookmarkStart w:id="110" w:name="X56025c6d9dbf7520f7a7df11f905cdd09f46e4a"/>
    <w:p>
      <w:pPr>
        <w:pStyle w:val="Heading2"/>
      </w:pPr>
      <w:r>
        <w:t xml:space="preserve">6.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655 automated tests, 19 end-to-end tests, and 42 functional cases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0"/>
    <w:bookmarkStart w:id="111" w:name="references"/>
    <w:p>
      <w:pPr>
        <w:pStyle w:val="Heading2"/>
      </w:pPr>
      <w:r>
        <w:t xml:space="preserve">References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7">
        <w:r>
          <w:rPr>
            <w:rStyle w:val="Hyperlink"/>
          </w:rPr>
          <w:t xml:space="preserve">http://www.secretariasenado.gov.co/senado/basedoc/ley_1581_2012.html</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Ph. D. Dissertation.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7.0). Unpublished document.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(2nd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Brayan Estiven Patiño Cabrera, Juan Camilo Guilombo Osorio, and Merari Urbano.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Brayan Estiven Patiño Cabrera, Juan Camilo Guilombo Osorio, and Merari Urbano.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Brayan Estiven Patiño Cabrera, Juan Camilo Guilombo Osorio, and Merari Urbano.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8">
        <w:r>
          <w:rPr>
            <w:rStyle w:val="Hyperlink"/>
          </w:rPr>
          <w:t xml:space="preserve">https://github.com/code-sena/vehicle-w-docs</w:t>
        </w:r>
      </w:hyperlink>
    </w:p>
    <w:bookmarkEnd w:id="111"/>
    <w:bookmarkStart w:id="113" w:name="appendix"/>
    <w:p>
      <w:pPr>
        <w:pStyle w:val="Heading2"/>
      </w:pPr>
      <w:r>
        <w:t xml:space="preserve">Appendix</w:t>
      </w:r>
    </w:p>
    <w:bookmarkStart w:id="112"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t xml:space="preserve"> </w:t>
      </w:r>
      <w: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svg" /><Relationship Type="http://schemas.openxmlformats.org/officeDocument/2006/relationships/image" Id="rId38" Target="media/rId38.svg" /><Relationship Type="http://schemas.openxmlformats.org/officeDocument/2006/relationships/image" Id="rId97" Target="media/rId97.svg" /><Relationship Type="http://schemas.openxmlformats.org/officeDocument/2006/relationships/image" Id="rId42" Target="media/rId42.svg" /><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2026-10-19T18:39:34Z</dcterms:created>
  <dcterms:modified xsi:type="dcterms:W3CDTF">2026-10-19T18:39:34Z</dcterms:modified>
</cp:coreProperties>
</file>

<file path=docProps/custom.xml><?xml version="1.0" encoding="utf-8"?>
<Properties xmlns="http://schemas.openxmlformats.org/officeDocument/2006/custom-properties" xmlns:vt="http://schemas.openxmlformats.org/officeDocument/2006/docPropsVTypes"/>
</file>