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svg" ContentType="image/svg+xml"/>
  <Override PartName="/word/media/rId39.svg" ContentType="image/svg+xml"/>
  <Override PartName="/word/media/rId99.svg" ContentType="image/svg+xml"/>
  <Override PartName="/word/media/rId43.svg" ContentType="image/svg+xml"/>
  <Override PartName="/word/media/rId95.svg" ContentType="image/svg+xml"/>
  <Override PartName="/word/media/rId39.svg" ContentType="image/svg+xml"/>
  <Override PartName="/word/media/rId99.svg" ContentType="image/svg+xml"/>
  <Override PartName="/word/media/rId43.svg" ContentType="image/svg+xml"/>
  <Override PartName="/word/media/rId95.png" ContentType="image/png"/>
  <Override PartName="/word/media/rId39.png" ContentType="image/png"/>
  <Override PartName="/word/media/rId9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y Merari Urbano Quintero</w:t>
      </w:r>
    </w:p>
    <w:p>
      <w:pPr>
        <w:pStyle w:val="BodyText"/>
      </w:pPr>
      <w:r>
        <w:t xml:space="preserve">Servicio Nacional de Aprendizaje (SENA), Centro de la Industria, la Empresa y los Servicios,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16 de octubre de 2026</w:t>
      </w:r>
    </w:p>
    <w:bookmarkStart w:id="20" w:name="resumen"/>
    <w:p>
      <w:pPr>
        <w:pStyle w:val="Heading2"/>
      </w:pPr>
      <w:r>
        <w:t xml:space="preserve">Resumen</w:t>
      </w:r>
    </w:p>
    <w:p>
      <w:pPr>
        <w:pStyle w:val="FirstParagraph"/>
      </w:pP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El 19 de octubre de 2026 se ejecutaron 655 pruebas automatizadas, todas aprobadas (incluidas 7 de persistencia contra una base aislada), y 19 pruebas de punta a punta y 42 casos funcionales contra el sistema completo,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i/>
          <w:iCs/>
        </w:rPr>
        <w:t xml:space="preserve">Palabras clave:</w:t>
      </w:r>
      <w:r>
        <w:t xml:space="preserve"> </w:t>
      </w:r>
      <w:r>
        <w:t xml:space="preserve">microservicios, arquitectura hexagonal, sistema de reservas, lavado vehicular, pagos con código QR, documentación de diseño de software</w:t>
      </w:r>
    </w:p>
    <w:bookmarkEnd w:id="20"/>
    <w:bookmarkEnd w:id="21"/>
    <w:bookmarkStart w:id="75" w:name="X7d7877430b6a5329d7e0962d907b81d3fd5fb7a"/>
    <w:p>
      <w:pPr>
        <w:pStyle w:val="Heading1"/>
      </w:pPr>
      <w:r>
        <w:t xml:space="preserve">Diseño e implementación de una plataforma de microservicios para la gestión de reservas, operación y pagos verificados en un lavadero vehicular</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2" w:name="planteamiento-del-problema"/>
    <w:p>
      <w:pPr>
        <w:pStyle w:val="Heading3"/>
      </w:pPr>
      <w:r>
        <w:t xml:space="preserve">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2"/>
    <w:bookmarkStart w:id="23" w:name="justificación"/>
    <w:p>
      <w:pPr>
        <w:pStyle w:val="Heading3"/>
      </w:pPr>
      <w:r>
        <w:t xml:space="preserve">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3"/>
    <w:bookmarkStart w:id="24" w:name="objetivos"/>
    <w:p>
      <w:pPr>
        <w:pStyle w:val="Heading3"/>
      </w:pPr>
      <w:r>
        <w:t xml:space="preserve">Objetivos</w:t>
      </w:r>
    </w:p>
    <w:p>
      <w:pPr>
        <w:pStyle w:val="FirstParagraph"/>
      </w:pPr>
      <w:r>
        <w:t xml:space="preserve">Los objetivos vigentes del proyecto están en la versión 7.0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4"/>
    <w:bookmarkStart w:id="25" w:name="evolución-del-alcance"/>
    <w:p>
      <w:pPr>
        <w:pStyle w:val="Heading3"/>
      </w:pPr>
      <w:r>
        <w:t xml:space="preserve">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5"/>
    <w:bookmarkStart w:id="31" w:name="marco-conceptual"/>
    <w:p>
      <w:pPr>
        <w:pStyle w:val="Heading2"/>
      </w:pPr>
      <w:r>
        <w:t xml:space="preserve">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6" w:name="microservicios-y-propiedad-de-los-datos"/>
    <w:p>
      <w:pPr>
        <w:pStyle w:val="Heading3"/>
      </w:pPr>
      <w:r>
        <w:t xml:space="preserve">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6"/>
    <w:bookmarkStart w:id="27" w:name="X2ba3387df3127cc43562375cf351d45685c197b"/>
    <w:p>
      <w:pPr>
        <w:pStyle w:val="Heading3"/>
      </w:pPr>
      <w:r>
        <w:t xml:space="preserve">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7"/>
    <w:bookmarkStart w:id="28" w:name="integración-síncrona-y-asíncrona"/>
    <w:p>
      <w:pPr>
        <w:pStyle w:val="Heading3"/>
      </w:pPr>
      <w:r>
        <w:t xml:space="preserve">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y Woolf, 2003).</w:t>
      </w:r>
    </w:p>
    <w:bookmarkEnd w:id="28"/>
    <w:bookmarkStart w:id="29" w:name="seguridad-de-la-aplicación"/>
    <w:p>
      <w:pPr>
        <w:pStyle w:val="Heading3"/>
      </w:pPr>
      <w:r>
        <w:t xml:space="preserve">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y Mazières, 1999). La lista OWASP Top 10 sirve como referencia para revisar los riesgos más comunes de las aplicaciones web (OWASP Foundation, 2021).</w:t>
      </w:r>
    </w:p>
    <w:bookmarkEnd w:id="29"/>
    <w:bookmarkStart w:id="30" w:name="gestión-de-la-calidad-del-software"/>
    <w:p>
      <w:pPr>
        <w:pStyle w:val="Heading3"/>
      </w:pPr>
      <w:r>
        <w:t xml:space="preserve">Gestión de la Calidad del Software</w:t>
      </w:r>
    </w:p>
    <w:p>
      <w:pPr>
        <w:pStyle w:val="FirstParagraph"/>
      </w:pPr>
      <w:r>
        <w:t xml:space="preserve">El proyecto toma como marco de sus acciones correctivas, preventivas y de mejora los procesos de mantenimiento y aseguramiento de la calidad de la ISO/IEC/IEEE 12207 (International Organization for Standardization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30"/>
    <w:bookmarkEnd w:id="31"/>
    <w:bookmarkStart w:id="38" w:name="método"/>
    <w:p>
      <w:pPr>
        <w:pStyle w:val="Heading2"/>
      </w:pPr>
      <w:r>
        <w:t xml:space="preserve">Método</w:t>
      </w:r>
    </w:p>
    <w:bookmarkStart w:id="32" w:name="tipo-de-estudio"/>
    <w:p>
      <w:pPr>
        <w:pStyle w:val="Heading3"/>
      </w:pPr>
      <w:r>
        <w:t xml:space="preserve">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2026b). La SRS, en su versión 7.0, sigue la estructura de IEEE 830 (IEEE, 1998) y los contenidos de ISO/IEC/IEEE 29148 (ISO/IEC/IEEE, 2018), y define 41 requisitos funcionales, 12 requisitos no funcionales clasificados según el modelo de calidad de ISO/IEC 25010 (ISO/IEC, 2023), 32 casos de uso y una matriz de trazabilidad con el estado de cada requisito (Guilombo Osorio et al., 2026).</w:t>
      </w:r>
    </w:p>
    <w:bookmarkEnd w:id="32"/>
    <w:bookmarkStart w:id="33" w:name="contexto-y-participantes"/>
    <w:p>
      <w:pPr>
        <w:pStyle w:val="Heading3"/>
      </w:pPr>
      <w:r>
        <w:t xml:space="preserve">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3"/>
    <w:bookmarkStart w:id="34" w:name="proceso-de-desarrollo"/>
    <w:p>
      <w:pPr>
        <w:pStyle w:val="Heading3"/>
      </w:pPr>
      <w:r>
        <w:t xml:space="preserve">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y Sutherland, 2020) al calendario académico. La instructora técnica actuó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4"/>
    <w:bookmarkStart w:id="35" w:name="técnicas-e-instrumentos-de-verificación"/>
    <w:p>
      <w:pPr>
        <w:pStyle w:val="Heading3"/>
      </w:pPr>
      <w:r>
        <w:t xml:space="preserve">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5"/>
    <w:bookmarkStart w:id="36" w:name="herramientas"/>
    <w:p>
      <w:pPr>
        <w:pStyle w:val="Heading3"/>
      </w:pPr>
      <w:r>
        <w:t xml:space="preserve">Herramientas</w:t>
      </w:r>
    </w:p>
    <w:p>
      <w:pPr>
        <w:pStyle w:val="FirstParagraph"/>
      </w:pPr>
      <w:r>
        <w:t xml:space="preserve">La Tabla 1 resume la pila tecnológica, tomada de los archivos de construcción de cada repositorio.</w:t>
      </w:r>
    </w:p>
    <w:p>
      <w:pPr>
        <w:pStyle w:val="BodyText"/>
      </w:pPr>
      <w:r>
        <w:rPr>
          <w:b/>
          <w:bCs/>
        </w:rPr>
        <w:t xml:space="preserve">Tabla 1</w:t>
      </w:r>
    </w:p>
    <w:p>
      <w:pPr>
        <w:pStyle w:val="BodyText"/>
      </w:pP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6"/>
    <w:bookmarkStart w:id="37" w:name="procedimiento-de-análisis"/>
    <w:p>
      <w:pPr>
        <w:pStyle w:val="Heading3"/>
      </w:pPr>
      <w:r>
        <w:t xml:space="preserve">Procedimiento de Análisis</w:t>
      </w:r>
    </w:p>
    <w:p>
      <w:pPr>
        <w:pStyle w:val="FirstParagraph"/>
      </w:pPr>
      <w:r>
        <w:t xml:space="preserve">El estado de los requisitos se tomó de la matriz de trazabilidad de la SRS, verificada contra el código el 16 de octubre de 2026 (Guilombo Osorio et al., 2026). Las pruebas se volvieron a ejecutar el 19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y los 42 casos funcionales contra el sistema completo.</w:t>
      </w:r>
    </w:p>
    <w:bookmarkEnd w:id="37"/>
    <w:bookmarkEnd w:id="38"/>
    <w:bookmarkStart w:id="53" w:name="resultados"/>
    <w:p>
      <w:pPr>
        <w:pStyle w:val="Heading2"/>
      </w:pPr>
      <w:r>
        <w:t xml:space="preserve">Resultados</w:t>
      </w:r>
    </w:p>
    <w:bookmarkStart w:id="42" w:name="arquitectura-implementada"/>
    <w:p>
      <w:pPr>
        <w:pStyle w:val="Heading3"/>
      </w:pPr>
      <w:r>
        <w:t xml:space="preserve">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3667125"/>
            <wp:effectExtent b="0" l="0" r="0" t="0"/>
            <wp:docPr descr="Diagrama de contenedores del sistema Vehicle Washing" title="" id="40" name="Picture"/>
            <a:graphic>
              <a:graphicData uri="http://schemas.openxmlformats.org/drawingml/2006/picture">
                <pic:pic>
                  <pic:nvPicPr>
                    <pic:cNvPr descr="capturas/arquitectura_es.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p>
    <w:p>
      <w:pPr>
        <w:pStyle w:val="BodyText"/>
      </w:pP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2"/>
    <w:bookmarkStart w:id="46" w:name="Xc0e787aa3ff8e0bd14194f910dd7a253915ee42"/>
    <w:p>
      <w:pPr>
        <w:pStyle w:val="Heading3"/>
      </w:pPr>
      <w:r>
        <w:t xml:space="preserve">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p>
    <w:p>
      <w:pPr>
        <w:pStyle w:val="BodyText"/>
      </w:pP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rPr>
          <w:b/>
          <w:bCs/>
        </w:rPr>
        <w:t xml:space="preserve">Figura 2</w:t>
      </w:r>
    </w:p>
    <w:p>
      <w:pPr>
        <w:pStyle w:val="BodyText"/>
      </w:pPr>
      <w:r>
        <w:rPr>
          <w:i/>
          <w:iCs/>
        </w:rPr>
        <w:t xml:space="preserve">Diagrama de Estados de la Reserva</w:t>
      </w:r>
    </w:p>
    <w:p>
      <w:pPr>
        <w:pStyle w:val="BodyText"/>
      </w:pPr>
      <w:r>
        <w:drawing>
          <wp:inline>
            <wp:extent cx="5334000" cy="2580967"/>
            <wp:effectExtent b="0" l="0" r="0" t="0"/>
            <wp:docPr descr="Diagrama de estados de la reserva" title="" id="44" name="Picture"/>
            <a:graphic>
              <a:graphicData uri="http://schemas.openxmlformats.org/drawingml/2006/picture">
                <pic:pic>
                  <pic:nvPicPr>
                    <pic:cNvPr descr="capturas/estados_reserva_es.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6"/>
    <w:bookmarkStart w:id="47" w:name="X2952ce3f788f1973bde2933a2d1650908ba3306"/>
    <w:p>
      <w:pPr>
        <w:pStyle w:val="Heading3"/>
      </w:pPr>
      <w:r>
        <w:t xml:space="preserve">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p>
    <w:p>
      <w:pPr>
        <w:pStyle w:val="BodyText"/>
      </w:pP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7.0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7"/>
    <w:bookmarkStart w:id="48" w:name="resultados-de-las-pruebas"/>
    <w:p>
      <w:pPr>
        <w:pStyle w:val="Heading3"/>
      </w:pPr>
      <w:r>
        <w:t xml:space="preserve">Resultados de las Pruebas</w:t>
      </w:r>
    </w:p>
    <w:p>
      <w:pPr>
        <w:pStyle w:val="FirstParagraph"/>
      </w:pPr>
      <w:r>
        <w:t xml:space="preserve">El 19 de octubre de 2026 se ejecutaron todas las suites automatizadas: 655 pruebas aprobadas, ninguna fallida ni omitida; las 7 pruebas de persistencia de payment-service corrieron contra una base de pruebas aislada (Tabla 5).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p>
    <w:p>
      <w:pPr>
        <w:pStyle w:val="BodyText"/>
      </w:pPr>
      <w:r>
        <w:rPr>
          <w:i/>
          <w:iCs/>
        </w:rPr>
        <w:t xml:space="preserve">Resultados de la Ejecución de las Pruebas Automatizadas (19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8"/>
    <w:bookmarkStart w:id="49" w:name="seguridad"/>
    <w:p>
      <w:pPr>
        <w:pStyle w:val="Heading3"/>
      </w:pPr>
      <w:r>
        <w:t xml:space="preserve">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p>
    <w:p>
      <w:pPr>
        <w:pStyle w:val="BodyText"/>
      </w:pP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9"/>
    <w:bookmarkStart w:id="50" w:name="gestión-de-defectos-y-mejora-continua"/>
    <w:p>
      <w:pPr>
        <w:pStyle w:val="Heading3"/>
      </w:pPr>
      <w:r>
        <w:t xml:space="preserve">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50"/>
    <w:bookmarkStart w:id="51" w:name="costos"/>
    <w:p>
      <w:pPr>
        <w:pStyle w:val="Heading3"/>
      </w:pPr>
      <w:r>
        <w:t xml:space="preserve">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p>
    <w:p>
      <w:pPr>
        <w:pStyle w:val="BodyText"/>
      </w:pP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1"/>
    <w:bookmarkStart w:id="52" w:name="resultados-con-personas-usuarias"/>
    <w:p>
      <w:pPr>
        <w:pStyle w:val="Heading3"/>
      </w:pPr>
      <w:r>
        <w:t xml:space="preserve">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2"/>
    <w:bookmarkEnd w:id="53"/>
    <w:bookmarkStart w:id="55" w:name="discusión"/>
    <w:p>
      <w:pPr>
        <w:pStyle w:val="Heading2"/>
      </w:pPr>
      <w:r>
        <w:t xml:space="preserve">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648 de las 655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4" w:name="limitaciones"/>
    <w:p>
      <w:pPr>
        <w:pStyle w:val="Heading3"/>
      </w:pPr>
      <w:r>
        <w:t xml:space="preserve">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4"/>
    <w:bookmarkEnd w:id="55"/>
    <w:bookmarkStart w:id="56" w:name="conclusiones"/>
    <w:p>
      <w:pPr>
        <w:pStyle w:val="Heading2"/>
      </w:pPr>
      <w:r>
        <w:t xml:space="preserve">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655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6"/>
    <w:bookmarkStart w:id="72" w:name="referencias"/>
    <w:p>
      <w:pPr>
        <w:pStyle w:val="Heading2"/>
      </w:pPr>
      <w:r>
        <w:t xml:space="preserve">Referencias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8">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9">
        <w:r>
          <w:rPr>
            <w:rStyle w:val="Hyperlink"/>
          </w:rPr>
          <w:t xml:space="preserve">https://github.com/code-sena/vehicle-w-docs</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y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y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7.0) [Documento no publicado]. Servicio Nacional de Aprendizaje.</w:t>
      </w:r>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15 de noviembre).</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y Urbano, M. (2025).</w:t>
      </w:r>
      <w:r>
        <w:t xml:space="preserve"> </w:t>
      </w:r>
      <w:r>
        <w:rPr>
          <w:i/>
          <w:iCs/>
        </w:rPr>
        <w:t xml:space="preserve">Propuesta técnica y económica: Sistema integral para la gestión de servicios móviles de lavado vehicular</w:t>
      </w:r>
      <w:r>
        <w:t xml:space="preserve"> </w:t>
      </w:r>
      <w:r>
        <w:t xml:space="preserve">[Documento no publicado]. Servicio Nacional de Aprendizaje.</w:t>
      </w:r>
    </w:p>
    <w:p>
      <w:pPr>
        <w:pStyle w:val="BodyText"/>
      </w:pPr>
      <w:r>
        <w:t xml:space="preserve">Patiño Cabrera, B. E., Guilombo Osorio, J. C., y Urbano, M.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Patiño Cabrera, B. E., Guilombo Osorio, J. C., y Urbano, M.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Patiño Cabrera, B. E., Guilombo Osorio, J. C., y Urbano, M.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y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bookmarkEnd w:id="72"/>
    <w:bookmarkStart w:id="74" w:name="apéndice"/>
    <w:p>
      <w:pPr>
        <w:pStyle w:val="Heading2"/>
      </w:pPr>
      <w:r>
        <w:t xml:space="preserve">Apéndice</w:t>
      </w:r>
    </w:p>
    <w:bookmarkStart w:id="73"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p>
    <w:p>
      <w:pPr>
        <w:pStyle w:val="BodyText"/>
      </w:pP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bookmarkEnd w:id="73"/>
    <w:bookmarkEnd w:id="74"/>
    <w:bookmarkEnd w:id="75"/>
    <w:bookmarkStart w:id="77"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and Merari Urbano Quintero</w:t>
      </w:r>
    </w:p>
    <w:p>
      <w:pPr>
        <w:pStyle w:val="BodyText"/>
      </w:pPr>
      <w:r>
        <w:t xml:space="preserve">Servicio Nacional de Aprendizaje (SENA), Centro de la Industria, la Empresa y los Servicios, Huila Regional Office</w:t>
      </w:r>
    </w:p>
    <w:p>
      <w:pPr>
        <w:pStyle w:val="BodyText"/>
      </w:pPr>
      <w:r>
        <w:t xml:space="preserve">Technologist in Software Analysis and Development (ADSO), Ficha 3145556</w:t>
      </w:r>
    </w:p>
    <w:p>
      <w:pPr>
        <w:pStyle w:val="BodyText"/>
      </w:pPr>
      <w:r>
        <w:t xml:space="preserve">Instructor: Karol Daniela Correa</w:t>
      </w:r>
    </w:p>
    <w:p>
      <w:pPr>
        <w:pStyle w:val="BodyText"/>
      </w:pPr>
      <w:r>
        <w:t xml:space="preserve">October 16, 2026</w:t>
      </w:r>
    </w:p>
    <w:bookmarkStart w:id="76" w:name="abstract"/>
    <w:p>
      <w:pPr>
        <w:pStyle w:val="Heading2"/>
      </w:pPr>
      <w:r>
        <w:t xml:space="preserve">Abstract</w:t>
      </w:r>
    </w:p>
    <w:p>
      <w:pPr>
        <w:pStyle w:val="FirstParagraph"/>
      </w:pP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On October 19, 2026, 655 automated tests were run and all passed (including 7 persistence tests against an isolated database), and 19 end-to-end tests and 42 functional cases against the complete system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i/>
          <w:iCs/>
        </w:rPr>
        <w:t xml:space="preserve">Keywords:</w:t>
      </w:r>
      <w:r>
        <w:t xml:space="preserve"> </w:t>
      </w:r>
      <w:r>
        <w:t xml:space="preserve">microservices, hexagonal architecture, booking system, car wash, QR code payments, software design documentation</w:t>
      </w:r>
    </w:p>
    <w:bookmarkEnd w:id="76"/>
    <w:bookmarkEnd w:id="77"/>
    <w:bookmarkStart w:id="116" w:name="Xe4d21eb243deefebdcc838d0202a53228d19913"/>
    <w:p>
      <w:pPr>
        <w:pStyle w:val="Heading1"/>
      </w:pPr>
      <w:r>
        <w:t xml:space="preserve">Design and Implementation of a Microservices Platform for Booking, Operations, and Verified Payment Management at a Car Wash</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8" w:name="problem-statement"/>
    <w:p>
      <w:pPr>
        <w:pStyle w:val="Heading3"/>
      </w:pPr>
      <w:r>
        <w:t xml:space="preserve">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8"/>
    <w:bookmarkStart w:id="79" w:name="rationale"/>
    <w:p>
      <w:pPr>
        <w:pStyle w:val="Heading3"/>
      </w:pPr>
      <w:r>
        <w:t xml:space="preserve">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9"/>
    <w:bookmarkStart w:id="80" w:name="objectives"/>
    <w:p>
      <w:pPr>
        <w:pStyle w:val="Heading3"/>
      </w:pPr>
      <w:r>
        <w:t xml:space="preserve">Objectives</w:t>
      </w:r>
    </w:p>
    <w:p>
      <w:pPr>
        <w:pStyle w:val="FirstParagraph"/>
      </w:pPr>
      <w:r>
        <w:t xml:space="preserve">The current project objectives are stated in version 7.0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80"/>
    <w:bookmarkStart w:id="81" w:name="scope-evolution"/>
    <w:p>
      <w:pPr>
        <w:pStyle w:val="Heading3"/>
      </w:pPr>
      <w:r>
        <w:t xml:space="preserve">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81"/>
    <w:bookmarkStart w:id="87" w:name="conceptual-framework"/>
    <w:p>
      <w:pPr>
        <w:pStyle w:val="Heading2"/>
      </w:pPr>
      <w:r>
        <w:t xml:space="preserve">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2" w:name="microservices-and-data-ownership"/>
    <w:p>
      <w:pPr>
        <w:pStyle w:val="Heading3"/>
      </w:pPr>
      <w:r>
        <w:t xml:space="preserve">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2"/>
    <w:bookmarkStart w:id="83" w:name="X8b3e7d6d75fae9a0b09e1f4d9b85ab04e0c82ce"/>
    <w:p>
      <w:pPr>
        <w:pStyle w:val="Heading3"/>
      </w:pPr>
      <w:r>
        <w:t xml:space="preserve">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3"/>
    <w:bookmarkStart w:id="84" w:name="synchronous-and-asynchronous-integration"/>
    <w:p>
      <w:pPr>
        <w:pStyle w:val="Heading3"/>
      </w:pPr>
      <w:r>
        <w:t xml:space="preserve">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&amp; Woolf, 2003).</w:t>
      </w:r>
    </w:p>
    <w:bookmarkEnd w:id="84"/>
    <w:bookmarkStart w:id="85" w:name="application-security"/>
    <w:p>
      <w:pPr>
        <w:pStyle w:val="Heading3"/>
      </w:pPr>
      <w:r>
        <w:t xml:space="preserve">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&amp; Mazières, 1999). The OWASP Top 10 list serves as a reference for reviewing the most common web application risks (OWASP Foundation, 2021).</w:t>
      </w:r>
    </w:p>
    <w:bookmarkEnd w:id="85"/>
    <w:bookmarkStart w:id="86" w:name="software-quality-management"/>
    <w:p>
      <w:pPr>
        <w:pStyle w:val="Heading3"/>
      </w:pPr>
      <w:r>
        <w:t xml:space="preserve">Software Quality Management</w:t>
      </w:r>
    </w:p>
    <w:p>
      <w:pPr>
        <w:pStyle w:val="FirstParagraph"/>
      </w:pPr>
      <w:r>
        <w:t xml:space="preserve">The project frames its corrective, preventive, and improvement actions within the maintenance and quality assurance processes of ISO/IEC/IEEE 12207 (International Organization for Standardization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6"/>
    <w:bookmarkEnd w:id="87"/>
    <w:bookmarkStart w:id="94" w:name="method"/>
    <w:p>
      <w:pPr>
        <w:pStyle w:val="Heading2"/>
      </w:pPr>
      <w:r>
        <w:t xml:space="preserve">Method</w:t>
      </w:r>
    </w:p>
    <w:bookmarkStart w:id="88" w:name="type-of-study"/>
    <w:p>
      <w:pPr>
        <w:pStyle w:val="Heading3"/>
      </w:pPr>
      <w:r>
        <w:t xml:space="preserve">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2026c). Version 7.0 of the SRS follows the structure of IEEE 830 (IEEE, 1998) and the contents of ISO/IEC/IEEE 29148 (ISO/IEC/IEEE, 2018), and defines 41 functional requirements, 12 non-functional requirements classified according to the ISO/IEC 25010 quality model (ISO/IEC, 2023), 32 use cases, and a traceability matrix with the status of each requirement (Guilombo Osorio et al., 2026).</w:t>
      </w:r>
    </w:p>
    <w:bookmarkEnd w:id="88"/>
    <w:bookmarkStart w:id="89" w:name="context-and-participants"/>
    <w:p>
      <w:pPr>
        <w:pStyle w:val="Heading3"/>
      </w:pPr>
      <w:r>
        <w:t xml:space="preserve">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9"/>
    <w:bookmarkStart w:id="90" w:name="development-process"/>
    <w:p>
      <w:pPr>
        <w:pStyle w:val="Heading3"/>
      </w:pPr>
      <w:r>
        <w:t xml:space="preserve">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&amp;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90"/>
    <w:bookmarkStart w:id="91" w:name="verification-techniques-and-instruments"/>
    <w:p>
      <w:pPr>
        <w:pStyle w:val="Heading3"/>
      </w:pPr>
      <w:r>
        <w:t xml:space="preserve">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91"/>
    <w:bookmarkStart w:id="92" w:name="tools"/>
    <w:p>
      <w:pPr>
        <w:pStyle w:val="Heading3"/>
      </w:pPr>
      <w:r>
        <w:t xml:space="preserve">Tools</w:t>
      </w:r>
    </w:p>
    <w:p>
      <w:pPr>
        <w:pStyle w:val="FirstParagraph"/>
      </w:pPr>
      <w:r>
        <w:t xml:space="preserve">Table 1 summarizes the technology stack, taken from the build files of each repository.</w:t>
      </w:r>
    </w:p>
    <w:p>
      <w:pPr>
        <w:pStyle w:val="BodyText"/>
      </w:pPr>
      <w:r>
        <w:rPr>
          <w:b/>
          <w:bCs/>
        </w:rPr>
        <w:t xml:space="preserve">Table 1</w:t>
      </w:r>
    </w:p>
    <w:p>
      <w:pPr>
        <w:pStyle w:val="BodyText"/>
      </w:pP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2"/>
    <w:bookmarkStart w:id="93" w:name="analysis-procedure"/>
    <w:p>
      <w:pPr>
        <w:pStyle w:val="Heading3"/>
      </w:pPr>
      <w:r>
        <w:t xml:space="preserve">Analysis Procedure</w:t>
      </w:r>
    </w:p>
    <w:p>
      <w:pPr>
        <w:pStyle w:val="FirstParagraph"/>
      </w:pPr>
      <w:r>
        <w:t xml:space="preserve">The status of the requirements was taken from the SRS traceability matrix, verified against the code on October 16, 2026 (Guilombo Osorio et al., 2026). The tests were run again on October 19,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and the 42 functional cases against the complete system.</w:t>
      </w:r>
    </w:p>
    <w:bookmarkEnd w:id="93"/>
    <w:bookmarkEnd w:id="94"/>
    <w:bookmarkStart w:id="109" w:name="results"/>
    <w:p>
      <w:pPr>
        <w:pStyle w:val="Heading2"/>
      </w:pPr>
      <w:r>
        <w:t xml:space="preserve">Results</w:t>
      </w:r>
    </w:p>
    <w:bookmarkStart w:id="98" w:name="implemented-architecture"/>
    <w:p>
      <w:pPr>
        <w:pStyle w:val="Heading3"/>
      </w:pPr>
      <w:r>
        <w:t xml:space="preserve">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rPr>
          <w:b/>
          <w:bCs/>
        </w:rPr>
        <w:t xml:space="preserve">Figure 1</w:t>
      </w:r>
    </w:p>
    <w:p>
      <w:pPr>
        <w:pStyle w:val="BodyText"/>
      </w:pPr>
      <w:r>
        <w:rPr>
          <w:i/>
          <w:iCs/>
        </w:rPr>
        <w:t xml:space="preserve">System Container Diagram</w:t>
      </w:r>
    </w:p>
    <w:p>
      <w:pPr>
        <w:pStyle w:val="BodyText"/>
      </w:pPr>
      <w:r>
        <w:drawing>
          <wp:inline>
            <wp:extent cx="5334000" cy="3667125"/>
            <wp:effectExtent b="0" l="0" r="0" t="0"/>
            <wp:docPr descr="Container diagram of the Vehicle Washing system" title="" id="96" name="Picture"/>
            <a:graphic>
              <a:graphicData uri="http://schemas.openxmlformats.org/drawingml/2006/picture">
                <pic:pic>
                  <pic:nvPicPr>
                    <pic:cNvPr descr="capturas/arquitectura_en.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p>
    <w:p>
      <w:pPr>
        <w:pStyle w:val="BodyText"/>
      </w:pP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8"/>
    <w:bookmarkStart w:id="102" w:name="business-rules-and-data-integrity"/>
    <w:p>
      <w:pPr>
        <w:pStyle w:val="Heading3"/>
      </w:pPr>
      <w:r>
        <w:t xml:space="preserve">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p>
    <w:p>
      <w:pPr>
        <w:pStyle w:val="BodyText"/>
      </w:pP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rPr>
          <w:b/>
          <w:bCs/>
        </w:rPr>
        <w:t xml:space="preserve">Figure 2</w:t>
      </w:r>
    </w:p>
    <w:p>
      <w:pPr>
        <w:pStyle w:val="BodyText"/>
      </w:pPr>
      <w:r>
        <w:rPr>
          <w:i/>
          <w:iCs/>
        </w:rPr>
        <w:t xml:space="preserve">Booking State Diagram</w:t>
      </w:r>
    </w:p>
    <w:p>
      <w:pPr>
        <w:pStyle w:val="BodyText"/>
      </w:pPr>
      <w:r>
        <w:drawing>
          <wp:inline>
            <wp:extent cx="5334000" cy="2580967"/>
            <wp:effectExtent b="0" l="0" r="0" t="0"/>
            <wp:docPr descr="Booking state diagram" title="" id="100" name="Picture"/>
            <a:graphic>
              <a:graphicData uri="http://schemas.openxmlformats.org/drawingml/2006/picture">
                <pic:pic>
                  <pic:nvPicPr>
                    <pic:cNvPr descr="capturas/estados_reserva_en.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Taken from the technical manual (Patiño Cabrera et al., 2026c).</w:t>
      </w:r>
    </w:p>
    <w:bookmarkEnd w:id="102"/>
    <w:bookmarkStart w:id="103" w:name="compliance-with-functional-requirements"/>
    <w:p>
      <w:pPr>
        <w:pStyle w:val="Heading3"/>
      </w:pPr>
      <w:r>
        <w:t xml:space="preserve">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p>
    <w:p>
      <w:pPr>
        <w:pStyle w:val="BodyText"/>
      </w:pP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7.0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3"/>
    <w:bookmarkStart w:id="104" w:name="test-results"/>
    <w:p>
      <w:pPr>
        <w:pStyle w:val="Heading3"/>
      </w:pPr>
      <w:r>
        <w:t xml:space="preserve">Test Results</w:t>
      </w:r>
    </w:p>
    <w:p>
      <w:pPr>
        <w:pStyle w:val="FirstParagraph"/>
      </w:pPr>
      <w:r>
        <w:t xml:space="preserve">On October 19, 2026, all the automated suites were run: 655 tests passed, none failed or skipped; the 7 payment-service persistence tests ran against an isolated test database (Table 5).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p>
    <w:p>
      <w:pPr>
        <w:pStyle w:val="BodyText"/>
      </w:pPr>
      <w:r>
        <w:rPr>
          <w:i/>
          <w:iCs/>
        </w:rPr>
        <w:t xml:space="preserve">Results of the Automated Test Run (October 19,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4"/>
    <w:bookmarkStart w:id="105" w:name="security"/>
    <w:p>
      <w:pPr>
        <w:pStyle w:val="Heading3"/>
      </w:pPr>
      <w:r>
        <w:t xml:space="preserve">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p>
    <w:p>
      <w:pPr>
        <w:pStyle w:val="BodyText"/>
      </w:pP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5"/>
    <w:bookmarkStart w:id="106" w:name="X52d2af149b596484deb0efabe40d79840891d87"/>
    <w:p>
      <w:pPr>
        <w:pStyle w:val="Heading3"/>
      </w:pPr>
      <w:r>
        <w:t xml:space="preserve">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6"/>
    <w:bookmarkStart w:id="107" w:name="costs"/>
    <w:p>
      <w:pPr>
        <w:pStyle w:val="Heading3"/>
      </w:pPr>
      <w:r>
        <w:t xml:space="preserve">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p>
    <w:p>
      <w:pPr>
        <w:pStyle w:val="BodyText"/>
      </w:pP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7"/>
    <w:bookmarkStart w:id="108" w:name="results-with-users"/>
    <w:p>
      <w:pPr>
        <w:pStyle w:val="Heading3"/>
      </w:pPr>
      <w:r>
        <w:t xml:space="preserve">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8"/>
    <w:bookmarkEnd w:id="109"/>
    <w:bookmarkStart w:id="111" w:name="discussion"/>
    <w:p>
      <w:pPr>
        <w:pStyle w:val="Heading2"/>
      </w:pPr>
      <w:r>
        <w:t xml:space="preserve">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648 of the 655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10" w:name="limitations"/>
    <w:p>
      <w:pPr>
        <w:pStyle w:val="Heading3"/>
      </w:pPr>
      <w:r>
        <w:t xml:space="preserve">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10"/>
    <w:bookmarkEnd w:id="111"/>
    <w:bookmarkStart w:id="112" w:name="conclusions"/>
    <w:p>
      <w:pPr>
        <w:pStyle w:val="Heading2"/>
      </w:pPr>
      <w:r>
        <w:t xml:space="preserve">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655 automated tests, 19 end-to-end tests, and 42 functional cases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2"/>
    <w:bookmarkStart w:id="113" w:name="references"/>
    <w:p>
      <w:pPr>
        <w:pStyle w:val="Heading2"/>
      </w:pPr>
      <w:r>
        <w:t xml:space="preserve">References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8">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&amp;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&amp;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7.0) [Unpublished document]. Servicio Nacional de Aprendizaje.</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November 15).</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&amp; Urbano, M.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Patiño Cabrera, B. E., Guilombo Osorio, J. C., &amp; Urbano, M.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&amp;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bookmarkEnd w:id="113"/>
    <w:bookmarkStart w:id="115" w:name="appendix"/>
    <w:p>
      <w:pPr>
        <w:pStyle w:val="Heading2"/>
      </w:pPr>
      <w:r>
        <w:t xml:space="preserve">Appendix</w:t>
      </w:r>
    </w:p>
    <w:bookmarkStart w:id="114"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p>
    <w:p>
      <w:pPr>
        <w:pStyle w:val="BodyText"/>
      </w:pP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5" Target="media/rId95.svg" /><Relationship Type="http://schemas.openxmlformats.org/officeDocument/2006/relationships/image" Id="rId39" Target="media/rId39.svg" /><Relationship Type="http://schemas.openxmlformats.org/officeDocument/2006/relationships/image" Id="rId99" Target="media/rId99.svg" /><Relationship Type="http://schemas.openxmlformats.org/officeDocument/2006/relationships/image" Id="rId43" Target="media/rId43.svg" /><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2026-10-19T18:37:21Z</dcterms:created>
  <dcterms:modified xsi:type="dcterms:W3CDTF">2026-10-19T18:37:21Z</dcterms:modified>
</cp:coreProperties>
</file>

<file path=docProps/custom.xml><?xml version="1.0" encoding="utf-8"?>
<Properties xmlns="http://schemas.openxmlformats.org/officeDocument/2006/custom-properties" xmlns:vt="http://schemas.openxmlformats.org/officeDocument/2006/docPropsVTypes"/>
</file>