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documento: Registro de acciones correctivas, preventivas y de mejoramiento (equipo de desarrollo e instructora) · Versión 2.1</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Se cerró la acción preventiva AP-01 con la integración continua en GitHub Actions de los 10 repositorios.</w:t>
            </w:r>
          </w:p>
        </w:tc>
        <w:tc>
          <w:tcPr/>
          <w:p>
            <w:pPr>
              <w:pStyle w:val="Compact"/>
            </w:pPr>
            <w:r>
              <w:t xml:space="preserve">Equipo de desarrollo</w:t>
            </w:r>
          </w:p>
        </w:tc>
      </w:tr>
      <w:tr>
        <w:tc>
          <w:tcPr/>
          <w:p>
            <w:pPr>
              <w:pStyle w:val="Compact"/>
            </w:pPr>
            <w:r>
              <w:t xml:space="preserve">2.3</w:t>
            </w:r>
          </w:p>
        </w:tc>
        <w:tc>
          <w:tcPr/>
          <w:p>
            <w:pPr>
              <w:pStyle w:val="Compact"/>
            </w:pPr>
            <w:r>
              <w:t xml:space="preserve">2026-10-19</w:t>
            </w:r>
          </w:p>
        </w:tc>
        <w:tc>
          <w:tcPr/>
          <w:p>
            <w:pPr>
              <w:pStyle w:val="Compact"/>
            </w:pPr>
            <w:r>
              <w:t xml:space="preserve">Indicador de pruebas con la ejecución del 19 de octubre (655 automatizadas, 19 de punta a punta y 42 casos funcionales).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17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16 de octubre de 2026. Las acciones ACO-01 a ACO-03 y ACO-05 a ACO-12 se cerraron y pasaron a la Tabla 6 (AC-24 a AC-34).</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Integración continua por repositorio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w:t>
            </w:r>
            <w:r>
              <w:t xml:space="preserve">y</w:t>
            </w:r>
            <w:r>
              <w:t xml:space="preserve"> </w:t>
            </w:r>
            <w:r>
              <w:rPr>
                <w:i/>
                <w:iCs/>
              </w:rPr>
              <w:t xml:space="preserve">tsc</w:t>
            </w:r>
            <w:r>
              <w:t xml:space="preserve">) y regla de integrar solo con el resultado en verde.</w:t>
            </w:r>
          </w:p>
        </w:tc>
        <w:tc>
          <w:tcPr/>
          <w:p>
            <w:pPr>
              <w:pStyle w:val="Compact"/>
            </w:pPr>
            <w:r>
              <w:t xml:space="preserve">Líder de proyecto</w:t>
            </w:r>
          </w:p>
        </w:tc>
        <w:tc>
          <w:tcPr/>
          <w:p>
            <w:pPr>
              <w:pStyle w:val="Compact"/>
            </w:pPr>
            <w:r>
              <w:t xml:space="preserve">Alta</w:t>
            </w:r>
          </w:p>
        </w:tc>
        <w:tc>
          <w:tcPr/>
          <w:p>
            <w:pPr>
              <w:pStyle w:val="Compact"/>
            </w:pPr>
            <w:r>
              <w:t xml:space="preserve">Cerrada (2026-10-19): GitHub Actions en los 10 repositorios, en cada push o pull request a</w:t>
            </w:r>
            <w:r>
              <w:t xml:space="preserve"> </w:t>
            </w:r>
            <w:r>
              <w:rPr>
                <w:i/>
                <w:iCs/>
              </w:rPr>
              <w:t xml:space="preserve">develop</w:t>
            </w:r>
            <w:r>
              <w:t xml:space="preserve"> </w:t>
            </w:r>
            <w:r>
              <w:t xml:space="preserve">y</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mensual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Abierta</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AM-08</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2026-10-17</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43 / 45 = 96 %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655 unitarias y de integración (web 43, gateway 34, servicios Java 430 y payment-service 148) al 19 de octubre de 2026, 19 de punta a punta y 42 casos funcionales</w:t>
            </w:r>
          </w:p>
        </w:tc>
      </w:tr>
    </w:tbl>
    <w:p>
      <w:pPr>
        <w:pStyle w:val="BodyText"/>
      </w:pPr>
      <w:r>
        <w:rPr>
          <w:i/>
          <w:iCs/>
        </w:rPr>
        <w:t xml:space="preserve">Nota.</w:t>
      </w:r>
      <w:r>
        <w:t xml:space="preserve"> </w:t>
      </w:r>
      <w:r>
        <w:t xml:space="preserve">Elaborado por los autores. El conteo de pruebas corresponde a la ejecución del 16 de octubre de 2026; en la versión 1.0 se contaban anotaciones (unas 400).</w:t>
      </w:r>
    </w:p>
    <w:p>
      <w:pPr>
        <w:pStyle w:val="BodyText"/>
      </w:pPr>
      <w:r>
        <w:t xml:space="preserve">El líder de proyecto revisa los indicadores en cada retrospectiva y antes de cada implementación. Con AC-25 y AC-26 cerradas ya no quedan correctivas P0 ni P1 abiertas, por lo que se cumple el criterio de entrada E6 del Procedimiento de Implementación. Las dos correctivas abiertas (ACO-04 y ACO-13) son P2 y P3 y tienen acción registrada.</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w:t>
            </w:r>
          </w:p>
        </w:tc>
        <w:tc>
          <w:tcPr/>
          <w:p>
            <w:pPr>
              <w:pStyle w:val="Compact"/>
            </w:pPr>
            <w:r>
              <w:t xml:space="preserve">TD-022</w:t>
            </w:r>
          </w:p>
        </w:tc>
        <w:tc>
          <w:tcPr/>
          <w:p>
            <w:pPr>
              <w:pStyle w:val="Compact"/>
            </w:pPr>
            <w:r>
              <w:t xml:space="preserve">AP-11</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2026-10-19T18:29:42Z</dcterms:created>
  <dcterms:modified xsi:type="dcterms:W3CDTF">2026-10-19T18:29:42Z</dcterms:modified>
</cp:coreProperties>
</file>

<file path=docProps/custom.xml><?xml version="1.0" encoding="utf-8"?>
<Properties xmlns="http://schemas.openxmlformats.org/officeDocument/2006/custom-properties" xmlns:vt="http://schemas.openxmlformats.org/officeDocument/2006/docPropsVTypes"/>
</file>