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Operativa de Conocimiento del Cliente (KYC)</w:t>
      </w:r>
    </w:p>
    <w:p>
      <w:r>
        <w:t>Documento interno que establece el procedimiento de validación de identidad para la apertura de cuentas y vinculación de nuevos clientes en NovaBank.</w:t>
      </w:r>
    </w:p>
    <w:p>
      <w:pPr>
        <w:pStyle w:val="Heading2"/>
      </w:pPr>
      <w:r>
        <w:t>1. Objetivo</w:t>
      </w:r>
    </w:p>
    <w:p>
      <w:r>
        <w:t>Garantizar que todos los clientes sean identificados, verificados y clasificados de acuerdo con los requisitos regulatorios, políticas de prevención de fraude y gestión de riesgos de la entidad.</w:t>
      </w:r>
    </w:p>
    <w:p>
      <w:pPr>
        <w:pStyle w:val="Heading2"/>
      </w:pPr>
      <w:r>
        <w:t>2. Alcance</w:t>
      </w:r>
    </w:p>
    <w:p>
      <w:r>
        <w:t>Aplica a todas las solicitudes de apertura de cuentas de personas naturales y jurídicas realizadas a través de canales digitales y presenciales.</w:t>
      </w:r>
    </w:p>
    <w:p>
      <w:pPr>
        <w:pStyle w:val="Heading2"/>
      </w:pPr>
      <w:r>
        <w:t>3. Documentos Aceptados</w:t>
      </w:r>
    </w:p>
    <w:p>
      <w:r>
        <w:t>• Documento Nacional de Identidad.</w:t>
        <w:br/>
        <w:t>• Pasaporte vigente.</w:t>
        <w:br/>
        <w:t>• Licencia de conducir (cuando la normativa local lo permita).</w:t>
        <w:br/>
        <w:t>• Documentos constitutivos para personas jurídicas.</w:t>
      </w:r>
    </w:p>
    <w:p>
      <w:pPr>
        <w:pStyle w:val="Heading2"/>
      </w:pPr>
      <w:r>
        <w:t>4. Procedimiento Operativo</w:t>
      </w:r>
    </w:p>
    <w:p>
      <w:r>
        <w:t>Paso 1. Recepción de la solicitud y aceptación de términos y condiciones.</w:t>
        <w:br/>
        <w:t>Paso 2. Captura del documento de identidad.</w:t>
        <w:br/>
        <w:t>Paso 3. Validación de autenticidad documental.</w:t>
        <w:br/>
        <w:t>Paso 4. Captura de selfie y ejecución de prueba de vida.</w:t>
        <w:br/>
        <w:t>Paso 5. Comparación biométrica facial.</w:t>
        <w:br/>
        <w:t>Paso 6. Verificación en listas restrictivas y bases regulatorias.</w:t>
        <w:br/>
        <w:t>Paso 7. Clasificación de riesgo.</w:t>
        <w:br/>
        <w:t>Paso 8. Aprobación, rechazo o escalamiento manual.</w:t>
      </w:r>
    </w:p>
    <w:p>
      <w:pPr>
        <w:pStyle w:val="Heading2"/>
      </w:pPr>
      <w:r>
        <w:t>5. Validación Biométrica</w:t>
      </w:r>
    </w:p>
    <w:p>
      <w:r>
        <w:t>La prueba de vida deberá incluir al menos uno de los siguientes controles: parpadeo, giro de cabeza, lectura de código dinámico o movimientos aleatorios solicitados por la plataforma.</w:t>
      </w:r>
    </w:p>
    <w:p>
      <w:pPr>
        <w:pStyle w:val="Heading2"/>
      </w:pPr>
      <w:r>
        <w:t>6. Verificaciones Obligatorias</w:t>
      </w:r>
    </w:p>
    <w:p>
      <w:r>
        <w:t>• Listas de sanciones nacionales e internacionales.</w:t>
        <w:br/>
        <w:t>• Personas Expuestas Políticamente (PEP).</w:t>
        <w:br/>
        <w:t>• Listas internas de fraude.</w:t>
        <w:br/>
        <w:t>• Bases de datos de identidad y prevención de lavado de activos.</w:t>
      </w:r>
    </w:p>
    <w:p>
      <w:pPr>
        <w:pStyle w:val="Heading2"/>
      </w:pPr>
      <w:r>
        <w:t>7. Clasificación de Riesgo</w:t>
      </w:r>
    </w:p>
    <w:p>
      <w:r>
        <w:t>Riesgo Bajo: Cliente con actividad económica verificable y perfil transaccional estándar.</w:t>
        <w:br/>
        <w:t>Riesgo Medio: Cliente con operaciones internacionales ocasionales o actividad económica compleja.</w:t>
        <w:br/>
        <w:t>Riesgo Alto: PEP, empresas offshore, clientes de jurisdicciones de alto riesgo o estructuras societarias complejas.</w:t>
      </w:r>
    </w:p>
    <w:p>
      <w:pPr>
        <w:pStyle w:val="Heading2"/>
      </w:pPr>
      <w:r>
        <w:t>8. Estados de la Solicitud</w:t>
      </w:r>
    </w:p>
    <w:p>
      <w:r>
        <w:t>APPROVED: Solicitud aprobada.</w:t>
        <w:br/>
        <w:t>PENDING_REVIEW: Requiere revisión manual.</w:t>
        <w:br/>
        <w:t>REJECTED: Solicitud rechazada.</w:t>
        <w:br/>
        <w:t>BLOCKED: Proceso suspendido por riesgo regulatorio o fraude.</w:t>
      </w:r>
    </w:p>
    <w:p>
      <w:pPr>
        <w:pStyle w:val="Heading2"/>
      </w:pPr>
      <w:r>
        <w:t>9. Motivos de Rechazo</w:t>
      </w:r>
    </w:p>
    <w:p>
      <w:r>
        <w:t>• Documento vencido o alterado.</w:t>
        <w:br/>
        <w:t>• Inconsistencia entre documento y biometría.</w:t>
        <w:br/>
        <w:t>• Coincidencia con listas restrictivas.</w:t>
        <w:br/>
        <w:t>• Información falsa o incompleta.</w:t>
        <w:br/>
        <w:t>• Evidencia de suplantación de identidad.</w:t>
      </w:r>
    </w:p>
    <w:p>
      <w:pPr>
        <w:pStyle w:val="Heading2"/>
      </w:pPr>
      <w:r>
        <w:t>10. Conservación de Evidencias</w:t>
      </w:r>
    </w:p>
    <w:p>
      <w:r>
        <w:t>Toda la información y evidencias obtenidas durante el proceso KYC deberán conservarse de forma segura por un período mínimo de diez (10) años, conforme a la normativa aplicable.</w:t>
      </w:r>
    </w:p>
    <w:p>
      <w:pPr>
        <w:pStyle w:val="Heading2"/>
      </w:pPr>
      <w:r>
        <w:t>11. Controles de Seguridad</w:t>
      </w:r>
    </w:p>
    <w:p>
      <w:r>
        <w:t>Toda la información recopilada deberá almacenarse mediante mecanismos de cifrado, control de acceso basado en roles y trazabilidad de auditoría.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