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6D0A8F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BACKOFFICE</w:t>
      </w:r>
    </w:p>
    <w:p w:rsidR="006D0A8F" w:rsidRDefault="006D0A8F" w:rsidP="006D0A8F"/>
    <w:p w:rsidR="006D0A8F" w:rsidRDefault="006D0A8F" w:rsidP="006D0A8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8"/>
          <w:footerReference w:type="default" r:id="rId9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10"/>
          <w:footerReference w:type="default" r:id="rId11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 xml:space="preserve">Proceso 1: </w:t>
      </w:r>
      <w:r w:rsidRPr="000E60C3">
        <w:rPr>
          <w:rFonts w:ascii="Arial" w:hAnsi="Arial" w:cs="Arial"/>
          <w:b/>
          <w:sz w:val="22"/>
          <w:szCs w:val="22"/>
        </w:rPr>
        <w:t>Mantenimiento de Curso</w:t>
      </w:r>
      <w:r w:rsidRPr="000E60C3">
        <w:rPr>
          <w:rFonts w:ascii="Arial" w:eastAsia="Arial" w:hAnsi="Arial" w:cs="Arial"/>
          <w:b/>
          <w:sz w:val="22"/>
          <w:szCs w:val="22"/>
        </w:rPr>
        <w:t xml:space="preserve"> (CUS)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Cruz Bravo Edgar Junior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Realizar el registro de un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 cursos.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-Nombre del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Cursos creados.</w:t>
            </w:r>
          </w:p>
        </w:tc>
      </w:tr>
      <w:tr w:rsidR="0052181B" w:rsidRPr="000E60C3" w:rsidTr="005F4709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Cargo modificado.</w:t>
            </w:r>
          </w:p>
        </w:tc>
      </w:tr>
    </w:tbl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  <w:sectPr w:rsidR="0052181B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>Diagrama del Proceso</w:t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6275C94" wp14:editId="4F176957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52181B" w:rsidRPr="000E60C3" w:rsidRDefault="0052181B" w:rsidP="0052181B">
      <w:pPr>
        <w:pStyle w:val="Prrafodelista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52181B" w:rsidRPr="000E60C3" w:rsidTr="005F470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2181B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&gt;&gt;&gt;&gt;&gt;&gt;&gt;&gt;&gt;&gt;&gt;&gt;&gt;Proceso 2</w:t>
      </w:r>
      <w:bookmarkStart w:id="1" w:name="_GoBack"/>
      <w:bookmarkEnd w:id="1"/>
    </w:p>
    <w:p w:rsidR="0052181B" w:rsidRPr="00EA40FF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P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AA6815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</w:rPr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AA6815" w:rsidRPr="00EA40FF" w:rsidTr="00273BA2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273BA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 6</w:t>
      </w:r>
      <w:r w:rsidR="00577EB1"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11454E" wp14:editId="189C69CD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r>
              <w:rPr>
                <w:rFonts w:ascii="Arial" w:eastAsia="Arial" w:hAnsi="Arial" w:cs="Arial"/>
              </w:rPr>
              <w:t>aperturar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1A7" w:rsidRDefault="006C51A7" w:rsidP="006D0A8F">
      <w:r>
        <w:separator/>
      </w:r>
    </w:p>
  </w:endnote>
  <w:endnote w:type="continuationSeparator" w:id="0">
    <w:p w:rsidR="006C51A7" w:rsidRDefault="006C51A7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52181B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52181B">
      <w:rPr>
        <w:rFonts w:ascii="Arial" w:hAnsi="Arial" w:cs="Arial"/>
        <w:b/>
        <w:noProof/>
        <w:color w:val="auto"/>
        <w:sz w:val="22"/>
      </w:rPr>
      <w:t>6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1A7" w:rsidRDefault="006C51A7" w:rsidP="006D0A8F">
      <w:r>
        <w:separator/>
      </w:r>
    </w:p>
  </w:footnote>
  <w:footnote w:type="continuationSeparator" w:id="0">
    <w:p w:rsidR="006C51A7" w:rsidRDefault="006C51A7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95FDE"/>
    <w:multiLevelType w:val="multilevel"/>
    <w:tmpl w:val="2AE05278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5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6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6F0B42D3"/>
    <w:multiLevelType w:val="multilevel"/>
    <w:tmpl w:val="5D108A3E"/>
    <w:lvl w:ilvl="0">
      <w:start w:val="4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8F"/>
    <w:rsid w:val="000569B8"/>
    <w:rsid w:val="000F1658"/>
    <w:rsid w:val="004425CD"/>
    <w:rsid w:val="00475CC1"/>
    <w:rsid w:val="004E5EE0"/>
    <w:rsid w:val="0052181B"/>
    <w:rsid w:val="00577EB1"/>
    <w:rsid w:val="006C51A7"/>
    <w:rsid w:val="006D0A8F"/>
    <w:rsid w:val="00732547"/>
    <w:rsid w:val="008256D5"/>
    <w:rsid w:val="008B7C8C"/>
    <w:rsid w:val="008D190A"/>
    <w:rsid w:val="00930FAA"/>
    <w:rsid w:val="00950F8C"/>
    <w:rsid w:val="00AA6815"/>
    <w:rsid w:val="00B27540"/>
    <w:rsid w:val="00DF6CB8"/>
    <w:rsid w:val="00E667AA"/>
    <w:rsid w:val="00EF2A9C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1173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Administrador</cp:lastModifiedBy>
  <cp:revision>8</cp:revision>
  <dcterms:created xsi:type="dcterms:W3CDTF">2016-04-23T05:05:00Z</dcterms:created>
  <dcterms:modified xsi:type="dcterms:W3CDTF">2016-04-23T18:07:00Z</dcterms:modified>
</cp:coreProperties>
</file>