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7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48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223045888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Acosta Osorio Lin Fernanda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223043982</w:t>
            </w:r>
          </w:p>
        </w:tc>
        <w:tc>
          <w:tcPr>
            <w:tcW w:type="dxa" w:w="48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Ramos Vargas Brayan Joel</w:t>
            </w:r>
          </w:p>
        </w:tc>
        <w:tc>
          <w:tcPr>
            <w:tcW w:type="dxa" w:w="28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213114976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Rodriguez Aguilera Walter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El servicio valida la sintaxis, los parámetros y el rol del remitente, ejecuta la operación en PostgreSQL y devuelve un correo con el resultado. La solución cubre los ocho casos de uso aprobados para convocatorias de auxiliaturas.</w:t>
      </w:r>
    </w:p>
    <w:p>
      <w:pPr>
        <w:spacing w:after="120" w:line="259" w:lineRule="auto"/>
      </w:pPr>
      <w:r>
        <w:t>La comprobación integral se realizó el 12 de octubre de 2026. Un correo externo solicitó el catálogo de ayuda y envió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de mensajes mediante identificadores POP3 persistidos.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8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54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Cliente externo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Gmail u otro correo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Envía la orden en el asunto y recibe la respuesta.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Entrada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POP3 puerto 110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Obtiene UIDL y descarga solo mensajes nuevos.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Servicio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Java 17 y Maven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Analiza, valida, autoriza y coordina cada orden.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Persistencia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 operaciones transaccionales y conserva auditoría.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Salida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Roundcube institucional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Entrega la respuesta desde el servidor Tecnoweb.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Empaquetado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Maven Shade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correo entrante, lectura del asunto, análisis sintáctico, validación de parámetros, autorización por rol, transacción SQL, registro del identificador procesado y respuesta al remitente.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79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53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CU1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Alta y listado de usuarios; roles y activación.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INSUSU, LISUSU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CU2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Convocatorias y cargos de auxiliatura.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INSCON, LISCON, INSCAR, LISCAR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CU3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múltiple y expediente digital.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INSPOST, LISPOST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CU4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Evaluación de requisitos y estado de habilitación.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EVAREQ, HABPOS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CU5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Méritos, examen y asignación de evaluadores.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REGMER, REGEXA, ASIEVA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CU6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Ranking por puntaje y asignación de plazas.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GENRAN, ASIPLA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CU7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 y consulta de acciones realizadas.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CU8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Cantidad y promedio por estado.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5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590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apellidos, rol, teléfono, correo,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LISUSU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INSCON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código, título, inicio, fin, estado, plazas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LISCON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INSCAR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nombre, unidad,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LISCAR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 ID, cargo ID, ruta del expediente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LISPOST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requisito, cumple,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HABPOS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estado,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REGMER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criterio, puntaje,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REGEXA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puntaje,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ASIEVA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evaluador ID, tipo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ASIPLA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asignar true o false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entidad, entidad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AYUDA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sin parámetros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El asunto debe contener un comando en mayúsculas seguido por corchetes. Cada parámetro debe estar entre comillas dobles.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</w:t>
      </w:r>
    </w:p>
    <w:p>
      <w:pPr>
        <w:pStyle w:val="ListBullet"/>
        <w:spacing w:after="60"/>
      </w:pPr>
      <w:r>
        <w:t>Los puntajes se limitan al intervalo de 0 a 100.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usuario Decano puede registrarse cuando la tabla de usuarios está vacía.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4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p1_usuario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rol, correo y estado.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p1_convocatoria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Periodo, estado y cantidad de plazas.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p1_cargo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Cargo y unidad académica.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p1_postulacion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Relación entre convocatoria, postulante y cargo; puntajes y plaza.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p1_expediente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Ruta y tipo del documento digital.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p1_evaluacion_requisito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Cumplimiento, observación y evaluador.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p1_merito / p1_examen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 que alimentan el resultado final.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p1_asignacion_evaluador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Evaluadores asignados a cada postulación.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p1_auditoria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Actor, comando, entidad, detalle y fecha.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p1_correo_control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Estado, reintentos y respuesta pendiente.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p1_resultado_orden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Resultado idempotente transaccional.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p1_correo_procesado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UID de los correos respondidos.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emplean sentencias preparadas. Cada operación, su auditoría y su resultado idempotente se confirman en una sola transacción; una caída posterior del correo no vuelve a ejecutar el cambio.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La asignación de plaza cambia el estado a GANADOR cuando recibe true. Cuando recibe false, retira la asignación y devuelve el estado a HABILITADO.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valida roles, sintaxis, cantidad y tamaño de parámetros; limita cada ciclo a 25 mensajes y cada listado a 200 filas.</w:t>
      </w:r>
    </w:p>
    <w:p>
      <w:pPr>
        <w:pStyle w:val="ListBullet"/>
        <w:spacing w:after="60"/>
      </w:pPr>
      <w:r>
        <w:t>Los cortes de PostgreSQL, POP3 o Roundcube activan tiempos máximos y reintentos progresivos, sin cerrar el servicio.</w:t>
      </w:r>
    </w:p>
    <w:p>
      <w:pPr>
        <w:pStyle w:val="ListBullet"/>
        <w:spacing w:after="60"/>
      </w:pPr>
      <w:r>
        <w:t>La cola p1_correo_control separa ejecución y respuesta: si el correo está caído, la respuesta queda pendiente sin repetir el negocio.</w:t>
      </w:r>
    </w:p>
    <w:p>
      <w:pPr>
        <w:pStyle w:val="ListBullet"/>
        <w:spacing w:after="60"/>
      </w:pPr>
      <w:r>
        <w:t>p1_resultado_orden usa el UIDL como clave idempotente. Negocio, auditoría y resultado se confirman o revierten juntos.</w:t>
      </w:r>
    </w:p>
    <w:p>
      <w:pPr>
        <w:pStyle w:val="ListBullet"/>
        <w:spacing w:after="60"/>
      </w:pPr>
      <w:r>
        <w:t>Windows y Linux incluyen scripts de reinicio; Fedora dispone además de una unidad systemd endurecida.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Compilación Maven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JAR ejecutable generado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Pruebas unitarias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13 pruebas sin fallos: analizador, permisos, límites y reintentos.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 remoto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Esquema resiliente p1_ aplicado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Caída de PostgreSQL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El proceso permaneció activo y aplicó reintentos progresivos.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Caída de POP3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El proceso permaneció activo y limitó los reintentos.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Catálogo desde Gmail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Procesado y respondido con el catálogo de órdenes.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LISCON["*"] desde Gmail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Consulta SQL ejecutada; respuesta: Sin resultados.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Clasificación Gmail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La respuesta llegó a Spam; no es un fallo de entrega.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No se atribuyen pruebas que no se realizaron. Las pruebas integrales documentadas corresponden a AYUDA y LISCON; los demás casos se verifican mediante validaciones automatizadas, construcción del proyecto y revisión de las sentencias SQL implementadas.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Requisitos: Java 17, Maven 3.9 o superior, acceso a Internet y las credenciales del Grupo 09 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93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85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Aplicar database/schema.sql en db_grupo09sa.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Definir MAIL_PASSWORD y DB_PASSWORD como variables de entorno.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Ejecutar mvn clean test package.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Windows: scripts/run-service.ps1. Linux: scripts/run-service.sh o systemd.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Solicitar el catálogo de ayuda y revisar también Spam.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144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806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0–2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Problema, objetivo y formato del asunto.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2–5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Arquitectura y modelo de datos.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5–8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Arranque del servicio Java y catálogo de ayuda.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8–12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Crear o listar datos de convocatoria y postulación.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12–15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Calificaciones, ranking y estadísticas.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15–18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datos, valida la entrada y conserva una cola transaccional para recuperarse de cortes sin repetir operaciones.</w:t>
      </w:r>
    </w:p>
    <w:p>
      <w:pPr>
        <w:spacing w:after="120" w:line="259" w:lineRule="auto"/>
      </w:pPr>
      <w:r>
        <w:t>La prueba integral demostró que el sistema funciona desde una cuenta Gmail externa. En la primera interacción Gmail puede enviar la respuesta a Spam; recomendamos marcar el remitente institucional como seguro antes de la defensa. El código, el esquema, este documento y la presentación se entregan juntos para que la evidencia coincida con la implementación.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