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30"/>
        </w:rPr>
        <w:t>UNIVERSIDAD AUTÓNOMA GABRIEL RENÉ MORENO</w:t>
      </w:r>
    </w:p>
    <w:p>
      <w:pPr>
        <w:jc w:val="center"/>
      </w:pPr>
      <w:r>
        <w:rPr>
          <w:b/>
          <w:sz w:val="24"/>
        </w:rPr>
        <w:t>FACULTAD DE INGENIERÍA EN CIENCIAS DE LA COMPUTACIÓN Y TELECOMUNICACIONES</w:t>
      </w:r>
    </w:p>
    <w:p>
      <w:pPr>
        <w:jc w:val="center"/>
      </w:pPr>
      <w:r>
        <w:rPr>
          <w:b/>
          <w:sz w:val="24"/>
        </w:rPr>
        <w:t>INGENIERÍA INFORMÁTICA</w:t>
      </w:r>
    </w:p>
    <w:p/>
    <w:p>
      <w:pPr>
        <w:pStyle w:val="Title"/>
        <w:jc w:val="center"/>
      </w:pPr>
      <w:r>
        <w:t>Sistema vía correo electrónico para la gestión de convocatorias de auxiliaturas</w:t>
      </w:r>
    </w:p>
    <w:p>
      <w:pPr>
        <w:jc w:val="center"/>
      </w:pPr>
      <w:r>
        <w:rPr>
          <w:b/>
          <w:sz w:val="30"/>
        </w:rPr>
        <w:t>Proyecto 1 de Tecnología Web</w:t>
      </w:r>
    </w:p>
    <w:p>
      <w:pPr>
        <w:jc w:val="center"/>
      </w:pPr>
      <w:r>
        <w:rPr>
          <w:b/>
        </w:rPr>
        <w:t>Grupo 09 SA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Registro</w:t>
            </w:r>
          </w:p>
        </w:tc>
        <w:tc>
          <w:tcPr>
            <w:tcW w:type="dxa" w:w="4896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Integrante</w:t>
            </w:r>
          </w:p>
        </w:tc>
        <w:tc>
          <w:tcPr>
            <w:tcW w:type="dxa" w:w="2880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Carrera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223045888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Acosta Osorio Lin Fernanda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Ingeniería en Sistemas</w:t>
            </w:r>
          </w:p>
        </w:tc>
      </w:tr>
      <w:tr>
        <w:tc>
          <w:tcPr>
            <w:tcW w:type="dxa" w:w="1728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223043982</w:t>
            </w:r>
          </w:p>
        </w:tc>
        <w:tc>
          <w:tcPr>
            <w:tcW w:type="dxa" w:w="4896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Ramos Vargas Brayan Joel</w:t>
            </w:r>
          </w:p>
        </w:tc>
        <w:tc>
          <w:tcPr>
            <w:tcW w:type="dxa" w:w="288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Ingeniería en Sistemas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213114976</w:t>
            </w:r>
          </w:p>
        </w:tc>
        <w:tc>
          <w:tcPr>
            <w:tcW w:type="dxa" w:w="48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Rodriguez Aguilera Walter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Ingeniería en Sistemas</w:t>
            </w:r>
          </w:p>
        </w:tc>
      </w:tr>
    </w:tbl>
    <w:p>
      <w:pPr>
        <w:spacing w:after="20"/>
      </w:pPr>
    </w:p>
    <w:p/>
    <w:p>
      <w:pPr>
        <w:jc w:val="center"/>
      </w:pPr>
      <w:r>
        <w:t>Santa Cruz de la Sierra, octubre de 2026</w:t>
      </w:r>
    </w:p>
    <w:p>
      <w:r>
        <w:br w:type="page"/>
      </w:r>
    </w:p>
    <w:p>
      <w:pPr>
        <w:pStyle w:val="Heading1"/>
        <w:spacing w:before="180" w:after="100"/>
      </w:pPr>
      <w:r>
        <w:t>Resumen ejecutivo</w:t>
      </w:r>
    </w:p>
    <w:p>
      <w:pPr>
        <w:spacing w:after="120" w:line="259" w:lineRule="auto"/>
      </w:pPr>
      <w:r>
        <w:t>Desarrollamos un servicio Java que recibe órdenes en el asunto de correos enviados a la cuenta del Grupo 09 SA. El servicio valida la sintaxis, los parámetros y el rol del remitente, ejecuta la operación en PostgreSQL y devuelve un correo con el resultado. La solución cubre los ocho casos de uso aprobados para convocatorias de auxiliaturas.</w:t>
      </w:r>
    </w:p>
    <w:p>
      <w:pPr>
        <w:spacing w:after="120" w:line="259" w:lineRule="auto"/>
      </w:pPr>
      <w:r>
        <w:t>La comprobación integral se realizó el 12 de octubre de 2026. Un correo externo solicitó el catálogo de ayuda y envió LISCON["*"]; el servicio leyó ambos mensajes, procesó la consulta en la base de datos y respondió al mismo Gmail con el asunto ÉXITO - Orden procesada. Gmail colocó las respuestas en Spam por tratarse de un remitente institucional nuevo; la entrega y el contenido se verificaron.</w:t>
      </w:r>
    </w:p>
    <w:p>
      <w:pPr>
        <w:pStyle w:val="Heading1"/>
        <w:spacing w:before="180" w:after="100"/>
      </w:pPr>
      <w:r>
        <w:t>1 Objetivo y alcance</w:t>
      </w:r>
    </w:p>
    <w:p>
      <w:pPr>
        <w:spacing w:after="120" w:line="259" w:lineRule="auto"/>
      </w:pPr>
      <w:r>
        <w:t>El objetivo consiste en automatizar la gestión de convocatorias de auxiliaturas mediante comandos enviados por correo electrónico. El programa se ejecuta continuamente en Java, revisa la bandeja cada diez segundos y no requiere una interfaz gráfica.</w:t>
      </w:r>
    </w:p>
    <w:p>
      <w:pPr>
        <w:pStyle w:val="ListBullet"/>
        <w:spacing w:after="60"/>
      </w:pPr>
      <w:r>
        <w:t>Interpretar órdenes con el formato COMANDO["parámetro", ...].</w:t>
      </w:r>
    </w:p>
    <w:p>
      <w:pPr>
        <w:pStyle w:val="ListBullet"/>
        <w:spacing w:after="60"/>
      </w:pPr>
      <w:r>
        <w:t>Controlar permisos para Decano, Vicedecano, Evaluador y Postulante.</w:t>
      </w:r>
    </w:p>
    <w:p>
      <w:pPr>
        <w:pStyle w:val="ListBullet"/>
        <w:spacing w:after="60"/>
      </w:pPr>
      <w:r>
        <w:t>Persistir usuarios, convocatorias, cargos, postulaciones, expedientes, evaluaciones, resultados y auditoría.</w:t>
      </w:r>
    </w:p>
    <w:p>
      <w:pPr>
        <w:pStyle w:val="ListBullet"/>
        <w:spacing w:after="60"/>
      </w:pPr>
      <w:r>
        <w:t>Responder al remitente con un mensaje de éxito o una explicación del error.</w:t>
      </w:r>
    </w:p>
    <w:p>
      <w:pPr>
        <w:pStyle w:val="ListBullet"/>
        <w:spacing w:after="60"/>
      </w:pPr>
      <w:r>
        <w:t>Evitar el reprocesamiento mediante identificadores persistentes obtenidos por Roundcube HTTPS.</w:t>
      </w:r>
    </w:p>
    <w:p>
      <w:pPr>
        <w:pStyle w:val="Heading1"/>
        <w:spacing w:before="180" w:after="100"/>
      </w:pPr>
      <w:r>
        <w:t>2 Arquitectura de la solución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872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2160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Tecnología</w:t>
            </w:r>
          </w:p>
        </w:tc>
        <w:tc>
          <w:tcPr>
            <w:tcW w:type="dxa" w:w="5472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Cliente externo</w:t>
            </w:r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Gmail u otro correo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Envía la orden en el asunto y recibe la respuesta.</w:t>
            </w:r>
          </w:p>
        </w:tc>
      </w:tr>
      <w:tr>
        <w:tc>
          <w:tcPr>
            <w:tcW w:type="dxa" w:w="187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Entrada</w:t>
            </w:r>
          </w:p>
        </w:tc>
        <w:tc>
          <w:tcPr>
            <w:tcW w:type="dxa" w:w="216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Roundcube HTTPS</w:t>
            </w:r>
          </w:p>
        </w:tc>
        <w:tc>
          <w:tcPr>
            <w:tcW w:type="dxa" w:w="547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Lista la bandeja con identificadores estables y tráfico cifrado.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Servicio</w:t>
            </w:r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Java 17 y Maven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Analiza, valida, autoriza y coordina cada orden.</w:t>
            </w:r>
          </w:p>
        </w:tc>
      </w:tr>
      <w:tr>
        <w:tc>
          <w:tcPr>
            <w:tcW w:type="dxa" w:w="187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Persistencia</w:t>
            </w:r>
          </w:p>
        </w:tc>
        <w:tc>
          <w:tcPr>
            <w:tcW w:type="dxa" w:w="216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PostgreSQL</w:t>
            </w:r>
          </w:p>
        </w:tc>
        <w:tc>
          <w:tcPr>
            <w:tcW w:type="dxa" w:w="547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Ejecuta operaciones transaccionales y conserva auditoría.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Salida</w:t>
            </w:r>
          </w:p>
        </w:tc>
        <w:tc>
          <w:tcPr>
            <w:tcW w:type="dxa" w:w="216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Roundcube institucional</w:t>
            </w:r>
          </w:p>
        </w:tc>
        <w:tc>
          <w:tcPr>
            <w:tcW w:type="dxa" w:w="547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Entrega la respuesta desde el servidor Tecnoweb.</w:t>
            </w:r>
          </w:p>
        </w:tc>
      </w:tr>
      <w:tr>
        <w:tc>
          <w:tcPr>
            <w:tcW w:type="dxa" w:w="187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Empaquetado</w:t>
            </w:r>
          </w:p>
        </w:tc>
        <w:tc>
          <w:tcPr>
            <w:tcW w:type="dxa" w:w="216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Maven Shade</w:t>
            </w:r>
          </w:p>
        </w:tc>
        <w:tc>
          <w:tcPr>
            <w:tcW w:type="dxa" w:w="547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Genera un JAR ejecutable con sus dependencias.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t>Flujo de ejecución: correo entrante, lectura del asunto, análisis sintáctico, validación de parámetros, autorización por rol, transacción SQL, registro del identificador procesado y respuesta al remitente.</w:t>
      </w:r>
    </w:p>
    <w:p>
      <w:pPr>
        <w:pStyle w:val="Heading1"/>
        <w:spacing w:before="180" w:after="100"/>
      </w:pPr>
      <w:r>
        <w:t>3 Casos de uso implementados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792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Caso</w:t>
            </w:r>
          </w:p>
        </w:tc>
        <w:tc>
          <w:tcPr>
            <w:tcW w:type="dxa" w:w="5328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Cobertura implementada</w:t>
            </w:r>
          </w:p>
        </w:tc>
        <w:tc>
          <w:tcPr>
            <w:tcW w:type="dxa" w:w="3024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Comandos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CU1</w:t>
            </w:r>
          </w:p>
        </w:tc>
        <w:tc>
          <w:tcPr>
            <w:tcW w:type="dxa" w:w="53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Alta y listado de usuarios; roles y activación.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INSUSU, LISUSU</w:t>
            </w:r>
          </w:p>
        </w:tc>
      </w:tr>
      <w:tr>
        <w:tc>
          <w:tcPr>
            <w:tcW w:type="dxa" w:w="79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CU2</w:t>
            </w:r>
          </w:p>
        </w:tc>
        <w:tc>
          <w:tcPr>
            <w:tcW w:type="dxa" w:w="5328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Convocatorias y cargos de auxiliatura.</w:t>
            </w:r>
          </w:p>
        </w:tc>
        <w:tc>
          <w:tcPr>
            <w:tcW w:type="dxa" w:w="302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INSCON, LISCON, INSCAR, LISCAR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CU3</w:t>
            </w:r>
          </w:p>
        </w:tc>
        <w:tc>
          <w:tcPr>
            <w:tcW w:type="dxa" w:w="53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Postulación múltiple y expediente digital.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INSPOST, LISPOST</w:t>
            </w:r>
          </w:p>
        </w:tc>
      </w:tr>
      <w:tr>
        <w:tc>
          <w:tcPr>
            <w:tcW w:type="dxa" w:w="79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CU4</w:t>
            </w:r>
          </w:p>
        </w:tc>
        <w:tc>
          <w:tcPr>
            <w:tcW w:type="dxa" w:w="5328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Evaluación de requisitos y estado de habilitación.</w:t>
            </w:r>
          </w:p>
        </w:tc>
        <w:tc>
          <w:tcPr>
            <w:tcW w:type="dxa" w:w="302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EVAREQ, HABPOS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CU5</w:t>
            </w:r>
          </w:p>
        </w:tc>
        <w:tc>
          <w:tcPr>
            <w:tcW w:type="dxa" w:w="53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Méritos, examen y asignación de evaluadores.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REGMER, REGEXA, ASIEVA</w:t>
            </w:r>
          </w:p>
        </w:tc>
      </w:tr>
      <w:tr>
        <w:tc>
          <w:tcPr>
            <w:tcW w:type="dxa" w:w="79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CU6</w:t>
            </w:r>
          </w:p>
        </w:tc>
        <w:tc>
          <w:tcPr>
            <w:tcW w:type="dxa" w:w="5328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Ranking por puntaje y asignación de plazas.</w:t>
            </w:r>
          </w:p>
        </w:tc>
        <w:tc>
          <w:tcPr>
            <w:tcW w:type="dxa" w:w="302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GENRAN, ASIPLA</w:t>
            </w:r>
          </w:p>
        </w:tc>
      </w:tr>
      <w:tr>
        <w:tc>
          <w:tcPr>
            <w:tcW w:type="dxa" w:w="7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CU7</w:t>
            </w:r>
          </w:p>
        </w:tc>
        <w:tc>
          <w:tcPr>
            <w:tcW w:type="dxa" w:w="53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Registro y consulta de acciones realizadas.</w:t>
            </w:r>
          </w:p>
        </w:tc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AUDCAL</w:t>
            </w:r>
          </w:p>
        </w:tc>
      </w:tr>
      <w:tr>
        <w:tc>
          <w:tcPr>
            <w:tcW w:type="dxa" w:w="79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CU8</w:t>
            </w:r>
          </w:p>
        </w:tc>
        <w:tc>
          <w:tcPr>
            <w:tcW w:type="dxa" w:w="5328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Cantidad y promedio por estado.</w:t>
            </w:r>
          </w:p>
        </w:tc>
        <w:tc>
          <w:tcPr>
            <w:tcW w:type="dxa" w:w="302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REPEST</w:t>
            </w:r>
          </w:p>
        </w:tc>
      </w:tr>
    </w:tbl>
    <w:p>
      <w:pPr>
        <w:spacing w:after="20"/>
      </w:pPr>
    </w:p>
    <w:p>
      <w:pPr>
        <w:pStyle w:val="Heading1"/>
        <w:spacing w:before="180" w:after="100"/>
      </w:pPr>
      <w:r>
        <w:t>4 Catálogo de órdenes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1512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Orden</w:t>
            </w:r>
          </w:p>
        </w:tc>
        <w:tc>
          <w:tcPr>
            <w:tcW w:type="dxa" w:w="5904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Parámetros</w:t>
            </w:r>
          </w:p>
        </w:tc>
        <w:tc>
          <w:tcPr>
            <w:tcW w:type="dxa" w:w="1800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 requerido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INSUSU</w:t>
            </w:r>
          </w:p>
        </w:tc>
        <w:tc>
          <w:tcPr>
            <w:tcW w:type="dxa" w:w="5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registro, nombres, apellidos, rol, teléfono, correo, activo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Decano</w:t>
            </w:r>
          </w:p>
        </w:tc>
      </w:tr>
      <w:tr>
        <w:tc>
          <w:tcPr>
            <w:tcW w:type="dxa" w:w="151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LISUSU</w:t>
            </w:r>
          </w:p>
        </w:tc>
        <w:tc>
          <w:tcPr>
            <w:tcW w:type="dxa" w:w="590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filtro</w:t>
            </w:r>
          </w:p>
        </w:tc>
        <w:tc>
          <w:tcPr>
            <w:tcW w:type="dxa" w:w="180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Decano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INSCON</w:t>
            </w:r>
          </w:p>
        </w:tc>
        <w:tc>
          <w:tcPr>
            <w:tcW w:type="dxa" w:w="5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código, título, inicio, fin, estado, plazas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Decano</w:t>
            </w:r>
          </w:p>
        </w:tc>
      </w:tr>
      <w:tr>
        <w:tc>
          <w:tcPr>
            <w:tcW w:type="dxa" w:w="151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LISCON</w:t>
            </w:r>
          </w:p>
        </w:tc>
        <w:tc>
          <w:tcPr>
            <w:tcW w:type="dxa" w:w="590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filtro</w:t>
            </w:r>
          </w:p>
        </w:tc>
        <w:tc>
          <w:tcPr>
            <w:tcW w:type="dxa" w:w="180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Público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INSCAR</w:t>
            </w:r>
          </w:p>
        </w:tc>
        <w:tc>
          <w:tcPr>
            <w:tcW w:type="dxa" w:w="5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nombre, unidad, activo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Decano</w:t>
            </w:r>
          </w:p>
        </w:tc>
      </w:tr>
      <w:tr>
        <w:tc>
          <w:tcPr>
            <w:tcW w:type="dxa" w:w="151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LISCAR</w:t>
            </w:r>
          </w:p>
        </w:tc>
        <w:tc>
          <w:tcPr>
            <w:tcW w:type="dxa" w:w="590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filtro</w:t>
            </w:r>
          </w:p>
        </w:tc>
        <w:tc>
          <w:tcPr>
            <w:tcW w:type="dxa" w:w="180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Público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INSPOST</w:t>
            </w:r>
          </w:p>
        </w:tc>
        <w:tc>
          <w:tcPr>
            <w:tcW w:type="dxa" w:w="5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convocatoria ID, cargo ID, ruta del expediente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Postulante</w:t>
            </w:r>
          </w:p>
        </w:tc>
      </w:tr>
      <w:tr>
        <w:tc>
          <w:tcPr>
            <w:tcW w:type="dxa" w:w="151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LISPOST</w:t>
            </w:r>
          </w:p>
        </w:tc>
        <w:tc>
          <w:tcPr>
            <w:tcW w:type="dxa" w:w="590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filtro</w:t>
            </w:r>
          </w:p>
        </w:tc>
        <w:tc>
          <w:tcPr>
            <w:tcW w:type="dxa" w:w="180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Postulante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EVAREQ</w:t>
            </w:r>
          </w:p>
        </w:tc>
        <w:tc>
          <w:tcPr>
            <w:tcW w:type="dxa" w:w="5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postulación ID, requisito, cumple, observación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Evaluador</w:t>
            </w:r>
          </w:p>
        </w:tc>
      </w:tr>
      <w:tr>
        <w:tc>
          <w:tcPr>
            <w:tcW w:type="dxa" w:w="151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HABPOS</w:t>
            </w:r>
          </w:p>
        </w:tc>
        <w:tc>
          <w:tcPr>
            <w:tcW w:type="dxa" w:w="590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postulación ID, estado, observación</w:t>
            </w:r>
          </w:p>
        </w:tc>
        <w:tc>
          <w:tcPr>
            <w:tcW w:type="dxa" w:w="180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Decano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REGMER</w:t>
            </w:r>
          </w:p>
        </w:tc>
        <w:tc>
          <w:tcPr>
            <w:tcW w:type="dxa" w:w="5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postulación ID, criterio, puntaje, observación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Evaluador</w:t>
            </w:r>
          </w:p>
        </w:tc>
      </w:tr>
      <w:tr>
        <w:tc>
          <w:tcPr>
            <w:tcW w:type="dxa" w:w="151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REGEXA</w:t>
            </w:r>
          </w:p>
        </w:tc>
        <w:tc>
          <w:tcPr>
            <w:tcW w:type="dxa" w:w="590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postulación ID, puntaje, observación</w:t>
            </w:r>
          </w:p>
        </w:tc>
        <w:tc>
          <w:tcPr>
            <w:tcW w:type="dxa" w:w="180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Evaluador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ASIEVA</w:t>
            </w:r>
          </w:p>
        </w:tc>
        <w:tc>
          <w:tcPr>
            <w:tcW w:type="dxa" w:w="5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postulación ID, evaluador ID, tipo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Decano</w:t>
            </w:r>
          </w:p>
        </w:tc>
      </w:tr>
      <w:tr>
        <w:tc>
          <w:tcPr>
            <w:tcW w:type="dxa" w:w="151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GENRAN</w:t>
            </w:r>
          </w:p>
        </w:tc>
        <w:tc>
          <w:tcPr>
            <w:tcW w:type="dxa" w:w="590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convocatoria ID</w:t>
            </w:r>
          </w:p>
        </w:tc>
        <w:tc>
          <w:tcPr>
            <w:tcW w:type="dxa" w:w="180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Decano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ASIPLA</w:t>
            </w:r>
          </w:p>
        </w:tc>
        <w:tc>
          <w:tcPr>
            <w:tcW w:type="dxa" w:w="5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postulación ID, asignar true o false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Decano</w:t>
            </w:r>
          </w:p>
        </w:tc>
      </w:tr>
      <w:tr>
        <w:tc>
          <w:tcPr>
            <w:tcW w:type="dxa" w:w="151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AUDCAL</w:t>
            </w:r>
          </w:p>
        </w:tc>
        <w:tc>
          <w:tcPr>
            <w:tcW w:type="dxa" w:w="590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entidad, entidad ID</w:t>
            </w:r>
          </w:p>
        </w:tc>
        <w:tc>
          <w:tcPr>
            <w:tcW w:type="dxa" w:w="180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Decano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REPEST</w:t>
            </w:r>
          </w:p>
        </w:tc>
        <w:tc>
          <w:tcPr>
            <w:tcW w:type="dxa" w:w="590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convocatoria ID</w:t>
            </w:r>
          </w:p>
        </w:tc>
        <w:tc>
          <w:tcPr>
            <w:tcW w:type="dxa" w:w="180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Decano</w:t>
            </w:r>
          </w:p>
        </w:tc>
      </w:tr>
      <w:tr>
        <w:tc>
          <w:tcPr>
            <w:tcW w:type="dxa" w:w="1512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AYUDA</w:t>
            </w:r>
          </w:p>
        </w:tc>
        <w:tc>
          <w:tcPr>
            <w:tcW w:type="dxa" w:w="590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sin parámetros</w:t>
            </w:r>
          </w:p>
        </w:tc>
        <w:tc>
          <w:tcPr>
            <w:tcW w:type="dxa" w:w="180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Público</w:t>
            </w:r>
          </w:p>
        </w:tc>
      </w:tr>
    </w:tbl>
    <w:p>
      <w:pPr>
        <w:spacing w:after="20"/>
      </w:pPr>
    </w:p>
    <w:p>
      <w:pPr>
        <w:pStyle w:val="Heading1"/>
        <w:spacing w:before="180" w:after="100"/>
      </w:pPr>
      <w:r>
        <w:t>5 Reglas de validación</w:t>
      </w:r>
    </w:p>
    <w:p>
      <w:pPr>
        <w:pStyle w:val="ListBullet"/>
        <w:spacing w:after="60"/>
      </w:pPr>
      <w:r>
        <w:t>El asunto debe contener un comando en mayúsculas seguido por corchetes. Cada parámetro debe estar entre comillas dobles.</w:t>
      </w:r>
    </w:p>
    <w:p>
      <w:pPr>
        <w:pStyle w:val="ListBullet"/>
        <w:spacing w:after="60"/>
      </w:pPr>
      <w:r>
        <w:t>El analizador rechaza asuntos incompletos, comas finales, parámetros sin comillas y comandos desconocidos.</w:t>
      </w:r>
    </w:p>
    <w:p>
      <w:pPr>
        <w:pStyle w:val="ListBullet"/>
        <w:spacing w:after="60"/>
      </w:pPr>
      <w:r>
        <w:t>Las fechas usan el formato ISO AAAA-MM-DD y la fecha final no puede preceder a la inicial.</w:t>
      </w:r>
    </w:p>
    <w:p>
      <w:pPr>
        <w:pStyle w:val="ListBullet"/>
        <w:spacing w:after="60"/>
      </w:pPr>
      <w:r>
        <w:t>Los identificadores deben ser enteros positivos; las plazas aceptan cero o un número positivo. Letras, NaN, infinitos y desbordamientos se rechazan.</w:t>
      </w:r>
    </w:p>
    <w:p>
      <w:pPr>
        <w:pStyle w:val="ListBullet"/>
        <w:spacing w:after="60"/>
      </w:pPr>
      <w:r>
        <w:t>Los puntajes se limitan al intervalo de 0 a 100 con máximo dos decimales. PostgreSQL repite esta comprobación mediante restricciones CHECK.</w:t>
      </w:r>
    </w:p>
    <w:p>
      <w:pPr>
        <w:pStyle w:val="ListBullet"/>
        <w:spacing w:after="60"/>
      </w:pPr>
      <w:r>
        <w:t>Los textos respetan el tamaño de cada columna y no admiten controles, saltos de línea ni espacios accidentales en los extremos.</w:t>
      </w:r>
    </w:p>
    <w:p>
      <w:pPr>
        <w:pStyle w:val="ListBullet"/>
        <w:spacing w:after="60"/>
      </w:pPr>
      <w:r>
        <w:t>Las operaciones privadas verifican el correo activo y el rol; el Vicedecano puede ejecutar operaciones administrativas del Decano.</w:t>
      </w:r>
    </w:p>
    <w:p>
      <w:pPr>
        <w:pStyle w:val="ListBullet"/>
        <w:spacing w:after="60"/>
      </w:pPr>
      <w:r>
        <w:t>El primer usuario Decano puede registrarse cuando la tabla de usuarios está vacía.</w:t>
      </w:r>
    </w:p>
    <w:p>
      <w:pPr>
        <w:pStyle w:val="Heading1"/>
        <w:spacing w:before="180" w:after="100"/>
      </w:pPr>
      <w:r>
        <w:t>6 Modelo de datos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3024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Tabla</w:t>
            </w:r>
          </w:p>
        </w:tc>
        <w:tc>
          <w:tcPr>
            <w:tcW w:type="dxa" w:w="6480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Contenido principal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p1_usuario</w:t>
            </w:r>
          </w:p>
        </w:tc>
        <w:tc>
          <w:tcPr>
            <w:tcW w:type="dxa" w:w="64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Registro, nombres, rol, correo y estado.</w:t>
            </w:r>
          </w:p>
        </w:tc>
      </w:tr>
      <w:tr>
        <w:tc>
          <w:tcPr>
            <w:tcW w:type="dxa" w:w="302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p1_convocatoria</w:t>
            </w:r>
          </w:p>
        </w:tc>
        <w:tc>
          <w:tcPr>
            <w:tcW w:type="dxa" w:w="648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Periodo, estado y cantidad de plazas.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p1_cargo</w:t>
            </w:r>
          </w:p>
        </w:tc>
        <w:tc>
          <w:tcPr>
            <w:tcW w:type="dxa" w:w="64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Cargo y unidad académica.</w:t>
            </w:r>
          </w:p>
        </w:tc>
      </w:tr>
      <w:tr>
        <w:tc>
          <w:tcPr>
            <w:tcW w:type="dxa" w:w="302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p1_postulacion</w:t>
            </w:r>
          </w:p>
        </w:tc>
        <w:tc>
          <w:tcPr>
            <w:tcW w:type="dxa" w:w="648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Relación entre convocatoria, postulante y cargo; puntajes y plaza.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p1_expediente</w:t>
            </w:r>
          </w:p>
        </w:tc>
        <w:tc>
          <w:tcPr>
            <w:tcW w:type="dxa" w:w="64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Ruta y tipo del documento digital.</w:t>
            </w:r>
          </w:p>
        </w:tc>
      </w:tr>
      <w:tr>
        <w:tc>
          <w:tcPr>
            <w:tcW w:type="dxa" w:w="302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p1_evaluacion_requisito</w:t>
            </w:r>
          </w:p>
        </w:tc>
        <w:tc>
          <w:tcPr>
            <w:tcW w:type="dxa" w:w="648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Cumplimiento, observación y evaluador.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p1_merito / p1_examen</w:t>
            </w:r>
          </w:p>
        </w:tc>
        <w:tc>
          <w:tcPr>
            <w:tcW w:type="dxa" w:w="64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Calificaciones que alimentan el resultado final.</w:t>
            </w:r>
          </w:p>
        </w:tc>
      </w:tr>
      <w:tr>
        <w:tc>
          <w:tcPr>
            <w:tcW w:type="dxa" w:w="302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p1_asignacion_evaluador</w:t>
            </w:r>
          </w:p>
        </w:tc>
        <w:tc>
          <w:tcPr>
            <w:tcW w:type="dxa" w:w="648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Evaluadores asignados a cada postulación.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p1_auditoria</w:t>
            </w:r>
          </w:p>
        </w:tc>
        <w:tc>
          <w:tcPr>
            <w:tcW w:type="dxa" w:w="64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Actor, comando, entidad, detalle y fecha.</w:t>
            </w:r>
          </w:p>
        </w:tc>
      </w:tr>
      <w:tr>
        <w:tc>
          <w:tcPr>
            <w:tcW w:type="dxa" w:w="302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p1_correo_control</w:t>
            </w:r>
          </w:p>
        </w:tc>
        <w:tc>
          <w:tcPr>
            <w:tcW w:type="dxa" w:w="648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Estado, reintentos y respuesta pendiente.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p1_resultado_orden</w:t>
            </w:r>
          </w:p>
        </w:tc>
        <w:tc>
          <w:tcPr>
            <w:tcW w:type="dxa" w:w="64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Resultado idempotente transaccional.</w:t>
            </w:r>
          </w:p>
        </w:tc>
      </w:tr>
      <w:tr>
        <w:tc>
          <w:tcPr>
            <w:tcW w:type="dxa" w:w="302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p1_correo_procesado</w:t>
            </w:r>
          </w:p>
        </w:tc>
        <w:tc>
          <w:tcPr>
            <w:tcW w:type="dxa" w:w="648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UID de los correos respondidos.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t>Las tablas usan el prefijo p1_ para convivir con otros proyectos del grupo sin alterar sus datos. Las consultas emplean sentencias preparadas. Cada operación, su auditoría y su resultado idempotente se confirman en una sola transacción; una caída posterior del correo no vuelve a ejecutar el cambio.</w:t>
      </w:r>
    </w:p>
    <w:p>
      <w:pPr>
        <w:pStyle w:val="Heading1"/>
        <w:spacing w:before="180" w:after="100"/>
      </w:pPr>
      <w:r>
        <w:t>7 Cálculo y ranking</w:t>
      </w:r>
    </w:p>
    <w:p>
      <w:pPr>
        <w:spacing w:after="120" w:line="259" w:lineRule="auto"/>
      </w:pPr>
      <w:r>
        <w:t>Cada registro de méritos o examen actualiza los acumulados de la postulación. El resultado final se calcula con 40 % de méritos y 60 % del promedio de examen. GENRAN ordena de mayor a menor puntaje y utiliza el identificador de postulación como desempate estable.</w:t>
      </w:r>
    </w:p>
    <w:p>
      <w:pPr>
        <w:spacing w:after="120" w:line="259" w:lineRule="auto"/>
      </w:pPr>
      <w:r>
        <w:t>La asignación de plaza cambia el estado a GANADOR cuando recibe true. Cuando recibe false, retira la asignación y devuelve el estado a HABILITADO.</w:t>
      </w:r>
    </w:p>
    <w:p>
      <w:pPr>
        <w:pStyle w:val="Heading1"/>
        <w:spacing w:before="180" w:after="100"/>
      </w:pPr>
      <w:r>
        <w:t>8 Seguridad y manejo de errores</w:t>
      </w:r>
    </w:p>
    <w:p>
      <w:pPr>
        <w:pStyle w:val="ListBullet"/>
        <w:spacing w:after="60"/>
      </w:pPr>
      <w:r>
        <w:t>Las contraseñas se reciben mediante MAIL_PASSWORD y DB_PASSWORD; no se incluyen en el repositorio ni en los paquetes.</w:t>
      </w:r>
    </w:p>
    <w:p>
      <w:pPr>
        <w:pStyle w:val="ListBullet"/>
        <w:spacing w:after="60"/>
      </w:pPr>
      <w:r>
        <w:t>El servicio valida roles, sintaxis, tipo, rango, fechas, estados y tamaño antes de ejecutar SQL; PostgreSQL conserva restricciones defensivas equivalentes.</w:t>
      </w:r>
    </w:p>
    <w:p>
      <w:pPr>
        <w:pStyle w:val="ListBullet"/>
        <w:spacing w:after="60"/>
      </w:pPr>
      <w:r>
        <w:t>Cada ciclo procesa como máximo 25 mensajes. Los listados se limitan a 200 filas y 50.000 caracteres.</w:t>
      </w:r>
    </w:p>
    <w:p>
      <w:pPr>
        <w:pStyle w:val="ListBullet"/>
        <w:spacing w:after="60"/>
      </w:pPr>
      <w:r>
        <w:t>Roundcube HTTPS cifra autenticación, lectura y respuesta; POP3 sin TLS queda solo como respaldo manual.</w:t>
      </w:r>
    </w:p>
    <w:p>
      <w:pPr>
        <w:pStyle w:val="ListBullet"/>
        <w:spacing w:after="60"/>
      </w:pPr>
      <w:r>
        <w:t>Los cortes de PostgreSQL, Internet o Roundcube activan tiempos máximos y reintentos progresivos, sin cerrar el servicio.</w:t>
      </w:r>
    </w:p>
    <w:p>
      <w:pPr>
        <w:pStyle w:val="ListBullet"/>
        <w:spacing w:after="60"/>
      </w:pPr>
      <w:r>
        <w:t>La cola p1_correo_control separa ejecución y respuesta: si el correo está caído, la respuesta queda pendiente sin repetir el negocio.</w:t>
      </w:r>
    </w:p>
    <w:p>
      <w:pPr>
        <w:pStyle w:val="ListBullet"/>
        <w:spacing w:after="60"/>
      </w:pPr>
      <w:r>
        <w:t>p1_resultado_orden usa el identificador del mensaje como clave idempotente. Negocio, auditoría y resultado se confirman o revierten juntos.</w:t>
      </w:r>
    </w:p>
    <w:p>
      <w:pPr>
        <w:pStyle w:val="ListBullet"/>
        <w:spacing w:after="60"/>
      </w:pPr>
      <w:r>
        <w:t>Un bloqueo asesor de PostgreSQL impide que dos instancias procesen la misma bandeja simultáneamente.</w:t>
      </w:r>
    </w:p>
    <w:p>
      <w:pPr>
        <w:pStyle w:val="ListBullet"/>
        <w:spacing w:after="60"/>
      </w:pPr>
      <w:r>
        <w:t>Windows y Linux incluyen scripts de reinicio; Fedora dispone además de una unidad systemd endurecida.</w:t>
      </w:r>
    </w:p>
    <w:p>
      <w:pPr>
        <w:pStyle w:val="ListBullet"/>
        <w:spacing w:after="60"/>
      </w:pPr>
      <w:r>
        <w:t>El programa conserva las tablas ajenas al Proyecto 1 y trabaja únicamente sobre el esquema p1_.</w:t>
      </w:r>
    </w:p>
    <w:p>
      <w:pPr>
        <w:pStyle w:val="Heading1"/>
        <w:spacing w:before="180" w:after="100"/>
      </w:pPr>
      <w:r>
        <w:t>9 Pruebas realizadas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3096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6408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Resultado observado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Compilación Maven</w:t>
            </w:r>
          </w:p>
        </w:tc>
        <w:tc>
          <w:tcPr>
            <w:tcW w:type="dxa" w:w="64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JAR ejecutable generado correctamente.</w:t>
            </w:r>
          </w:p>
        </w:tc>
      </w:tr>
      <w:tr>
        <w:tc>
          <w:tcPr>
            <w:tcW w:type="dxa" w:w="3096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Pruebas automatizadas</w:t>
            </w:r>
          </w:p>
        </w:tc>
        <w:tc>
          <w:tcPr>
            <w:tcW w:type="dxa" w:w="6408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18 pruebas de analizador, permisos, tipos, límites y reintentos sin fallos.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Fuzzing</w:t>
            </w:r>
          </w:p>
        </w:tc>
        <w:tc>
          <w:tcPr>
            <w:tcW w:type="dxa" w:w="64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1.000.000 de asuntos aleatorios sin derribar el analizador.</w:t>
            </w:r>
          </w:p>
        </w:tc>
      </w:tr>
      <w:tr>
        <w:tc>
          <w:tcPr>
            <w:tcW w:type="dxa" w:w="3096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PostgreSQL remoto</w:t>
            </w:r>
          </w:p>
        </w:tc>
        <w:tc>
          <w:tcPr>
            <w:tcW w:type="dxa" w:w="6408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Esquema resiliente p1_ y restricciones CHECK aplicados correctamente.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Caída simulada</w:t>
            </w:r>
          </w:p>
        </w:tc>
        <w:tc>
          <w:tcPr>
            <w:tcW w:type="dxa" w:w="64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El proceso permaneció activo y aplicó reintentos progresivos.</w:t>
            </w:r>
          </w:p>
        </w:tc>
      </w:tr>
      <w:tr>
        <w:tc>
          <w:tcPr>
            <w:tcW w:type="dxa" w:w="3096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Roundcube HTTPS</w:t>
            </w:r>
          </w:p>
        </w:tc>
        <w:tc>
          <w:tcPr>
            <w:tcW w:type="dxa" w:w="6408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Lectura real verificada sobre 149 mensajes sin exponer contenido.</w:t>
            </w:r>
          </w:p>
        </w:tc>
      </w:tr>
      <w:tr>
        <w:tc>
          <w:tcPr>
            <w:tcW w:type="dxa" w:w="309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Catálogo desde Gmail</w:t>
            </w:r>
          </w:p>
        </w:tc>
        <w:tc>
          <w:tcPr>
            <w:tcW w:type="dxa" w:w="640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Procesado y respondido con el catálogo de órdenes.</w:t>
            </w:r>
          </w:p>
        </w:tc>
      </w:tr>
      <w:tr>
        <w:tc>
          <w:tcPr>
            <w:tcW w:type="dxa" w:w="3096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LISCON["*"] desde Gmail</w:t>
            </w:r>
          </w:p>
        </w:tc>
        <w:tc>
          <w:tcPr>
            <w:tcW w:type="dxa" w:w="6408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Consulta SQL ejecutada; respuesta: Sin resultados.</w:t>
            </w:r>
          </w:p>
        </w:tc>
      </w:tr>
    </w:tbl>
    <w:p>
      <w:pPr>
        <w:spacing w:after="20"/>
      </w:pPr>
    </w:p>
    <w:p>
      <w:pPr>
        <w:spacing w:after="120" w:line="259" w:lineRule="auto"/>
      </w:pPr>
      <w:r>
        <w:t>No se atribuyen pruebas que no se realizaron. Las pruebas integrales documentadas corresponden a AYUDA y LISCON; los demás casos se verifican mediante validaciones automatizadas, construcción del proyecto y revisión de las sentencias SQL implementadas.</w:t>
      </w:r>
    </w:p>
    <w:p>
      <w:pPr>
        <w:pStyle w:val="Heading1"/>
        <w:spacing w:before="180" w:after="100"/>
      </w:pPr>
      <w:r>
        <w:t>10 Instalación y ejecución</w:t>
      </w:r>
    </w:p>
    <w:p>
      <w:pPr>
        <w:spacing w:after="120" w:line="259" w:lineRule="auto"/>
      </w:pPr>
      <w:r>
        <w:t>Requisitos: Java 17, Maven 3.9 o superior, acceso a Internet y las credenciales del Grupo 09 SA.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936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8568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Acción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85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Aplicar database/schema.sql en db_grupo09sa.</w:t>
            </w:r>
          </w:p>
        </w:tc>
      </w:tr>
      <w:tr>
        <w:tc>
          <w:tcPr>
            <w:tcW w:type="dxa" w:w="936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8568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Definir MAIL_PASSWORD y DB_PASSWORD como variables de entorno.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85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Ejecutar mvn clean test package.</w:t>
            </w:r>
          </w:p>
        </w:tc>
      </w:tr>
      <w:tr>
        <w:tc>
          <w:tcPr>
            <w:tcW w:type="dxa" w:w="936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8568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Windows: scripts/run-service.ps1. Linux: scripts/run-service.sh o systemd.</w:t>
            </w:r>
          </w:p>
        </w:tc>
      </w:tr>
      <w:tr>
        <w:tc>
          <w:tcPr>
            <w:tcW w:type="dxa" w:w="93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856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Solicitar el catálogo de ayuda y revisar también Spam.</w:t>
            </w:r>
          </w:p>
        </w:tc>
      </w:tr>
    </w:tbl>
    <w:p>
      <w:pPr>
        <w:spacing w:after="20"/>
      </w:pPr>
    </w:p>
    <w:p>
      <w:pPr>
        <w:pStyle w:val="Heading1"/>
        <w:spacing w:before="180" w:after="100"/>
      </w:pPr>
      <w:r>
        <w:t>11 Demostración para la defensa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1440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Minutos</w:t>
            </w:r>
          </w:p>
        </w:tc>
        <w:tc>
          <w:tcPr>
            <w:tcW w:type="dxa" w:w="8064"/>
            <w:shd w:fill="17365D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Demostración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0–2</w:t>
            </w:r>
          </w:p>
        </w:tc>
        <w:tc>
          <w:tcPr>
            <w:tcW w:type="dxa" w:w="80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Problema, objetivo y formato del asunto.</w:t>
            </w:r>
          </w:p>
        </w:tc>
      </w:tr>
      <w:tr>
        <w:tc>
          <w:tcPr>
            <w:tcW w:type="dxa" w:w="144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2–5</w:t>
            </w:r>
          </w:p>
        </w:tc>
        <w:tc>
          <w:tcPr>
            <w:tcW w:type="dxa" w:w="806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Arquitectura y modelo de datos.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5–8</w:t>
            </w:r>
          </w:p>
        </w:tc>
        <w:tc>
          <w:tcPr>
            <w:tcW w:type="dxa" w:w="80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Arranque del servicio Java y catálogo de ayuda.</w:t>
            </w:r>
          </w:p>
        </w:tc>
      </w:tr>
      <w:tr>
        <w:tc>
          <w:tcPr>
            <w:tcW w:type="dxa" w:w="144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8–12</w:t>
            </w:r>
          </w:p>
        </w:tc>
        <w:tc>
          <w:tcPr>
            <w:tcW w:type="dxa" w:w="806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Crear o listar datos de convocatoria y postulación.</w:t>
            </w:r>
          </w:p>
        </w:tc>
      </w:tr>
      <w:tr>
        <w:tc>
          <w:tcPr>
            <w:tcW w:type="dxa" w:w="144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12–15</w:t>
            </w:r>
          </w:p>
        </w:tc>
        <w:tc>
          <w:tcPr>
            <w:tcW w:type="dxa" w:w="806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Calificaciones, ranking y estadísticas.</w:t>
            </w:r>
          </w:p>
        </w:tc>
      </w:tr>
      <w:tr>
        <w:tc>
          <w:tcPr>
            <w:tcW w:type="dxa" w:w="1440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center"/>
            </w:pPr>
            <w:r/>
            <w:r>
              <w:rPr>
                <w:b w:val="0"/>
                <w:color w:val="000000"/>
                <w:sz w:val="17"/>
              </w:rPr>
              <w:t>15–18</w:t>
            </w:r>
          </w:p>
        </w:tc>
        <w:tc>
          <w:tcPr>
            <w:tcW w:type="dxa" w:w="8064"/>
            <w:shd w:fill="F4F7FB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jc w:val="left"/>
            </w:pPr>
            <w:r/>
            <w:r>
              <w:rPr>
                <w:b w:val="0"/>
                <w:color w:val="000000"/>
                <w:sz w:val="17"/>
              </w:rPr>
              <w:t>Auditoría, manejo de errores y conclusión.</w:t>
            </w:r>
          </w:p>
        </w:tc>
      </w:tr>
    </w:tbl>
    <w:p>
      <w:pPr>
        <w:spacing w:after="20"/>
      </w:pPr>
    </w:p>
    <w:p>
      <w:pPr>
        <w:pStyle w:val="Heading1"/>
        <w:spacing w:before="180" w:after="100"/>
      </w:pPr>
      <w:r>
        <w:t>12 Conclusiones</w:t>
      </w:r>
    </w:p>
    <w:p>
      <w:pPr>
        <w:spacing w:after="120" w:line="259" w:lineRule="auto"/>
      </w:pPr>
      <w:r>
        <w:t>Cumplimos el flujo solicitado por el docente: una orden enviada en el asunto se procesa automáticamente, afecta o consulta PostgreSQL y genera una respuesta al remitente. La implementación mantiene separados los datos, valida la entrada y conserva una cola transaccional para recuperarse de cortes sin repetir operaciones.</w:t>
      </w:r>
    </w:p>
    <w:p>
      <w:pPr>
        <w:spacing w:after="120" w:line="259" w:lineRule="auto"/>
      </w:pPr>
      <w:r>
        <w:t>La prueba integral demostró que el sistema funciona desde una cuenta Gmail externa. En la primera interacción Gmail puede enviar la respuesta a Spam; recomendamos marcar el remitente institucional como seguro antes de la defensa. El código, el esquema, este documento y la presentación se entregan juntos para que la evidencia coincida con la implementación.</w:t>
      </w:r>
    </w:p>
    <w:sectPr w:rsidR="00FC693F" w:rsidRPr="0006063C" w:rsidSect="00034616">
      <w:footerReference w:type="default" r:id="rId9"/>
      <w:pgSz w:w="12240" w:h="15840"/>
      <w:pgMar w:top="1080" w:right="1152" w:bottom="1037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INF513 Proyecto 1 Grupo 09 SA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PUDS Sistema vía correo electrónico para convocatorias de auxiliaturas</dc:title>
  <dc:subject>INF513 Proyecto 1 Grupo 09 SA</dc:subject>
  <dc:creator>Grupo 09 SA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