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Aprendizados e Desafios: Controle de Frotas 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Ao longo deste semestre no 2º período de Engenharia de Software , o desenvolvimento do sistema de banco de dados para o domínio de Controle de Frotas provou ser um desafio técnico e colaborativo profundo. A jornada, que se iniciou na compreensão abstrata dos requisitos do negócio e culminou na execução de um script SQL no PostgreSQL, exigiu da equipe uma grande adaptabilidade e rigor analítico.</w:t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A Lógica da Modelagem e Normalização:</w:t>
      </w:r>
      <w:r w:rsidDel="00000000" w:rsidR="00000000" w:rsidRPr="00000000">
        <w:rPr>
          <w:rtl w:val="0"/>
        </w:rPr>
        <w:t xml:space="preserve"> O nosso primeiro grande aprendizado prático foi perceber que a modelagem precisa vir muito antes do código. Mapear o funcionamento de uma frota, entender como uma viagem conecta motoristas, veículos e rotas, ou sacar a diferença crucial de por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veículo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</w:t>
      </w:r>
      <w:r w:rsidDel="00000000" w:rsidR="00000000" w:rsidRPr="00000000">
        <w:rPr>
          <w:rtl w:val="0"/>
        </w:rPr>
        <w:t xml:space="preserve"> precisavam ser tabelas separadas  nos forçou a ter uma visão sistêmica. Essa fase de abstração no Diagrama Entidade-Relacionamento (DER) lembrou muito o que discutimos em modelagem de processos (como em BPMN), onde qualquer falha na clareza da informação destrói a eficiência do sistema lá na frente. </w:t>
      </w:r>
    </w:p>
    <w:p w:rsidR="00000000" w:rsidDel="00000000" w:rsidP="00000000" w:rsidRDefault="00000000" w:rsidRPr="00000000" w14:paraId="0000000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passagem do modelo lógico para a normalização revelou a importância de proteger a integridade da base. Ao aplicar as formas normais, aprendemos na prática como anomalias de inserção, atualização e exclusão podem corromper dados corporativos críticos. A lógica entre eliminar a redundância e manter a performance foi uma das partes mais debatidas pelo grupo.</w:t>
      </w:r>
    </w:p>
    <w:p w:rsidR="00000000" w:rsidDel="00000000" w:rsidP="00000000" w:rsidRDefault="00000000" w:rsidRPr="00000000" w14:paraId="00000007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Trabalho Colaborativo e Versionamento:</w:t>
      </w:r>
      <w:r w:rsidDel="00000000" w:rsidR="00000000" w:rsidRPr="00000000">
        <w:rPr>
          <w:rtl w:val="0"/>
        </w:rPr>
        <w:t xml:space="preserve"> Por fim, o uso contínuo do Git e do GitHub foi um diferencial metodológico. O versionamento de código em equipe vai muito além de salvar arquivos, é sobre organizar as contribuições do projeto e deixar todo mundo na mesma pagina. A adoção da convenção de </w:t>
      </w:r>
      <w:r w:rsidDel="00000000" w:rsidR="00000000" w:rsidRPr="00000000">
        <w:rPr>
          <w:i w:val="1"/>
          <w:iCs w:val="1"/>
          <w:rtl w:val="0"/>
        </w:rPr>
        <w:t xml:space="preserve">Conventional Commits</w:t>
      </w:r>
      <w:r w:rsidDel="00000000" w:rsidR="00000000" w:rsidRPr="00000000">
        <w:rPr>
          <w:rtl w:val="0"/>
        </w:rPr>
        <w:t xml:space="preserve">  e o uso sistemático de </w:t>
      </w:r>
      <w:r w:rsidDel="00000000" w:rsidR="00000000" w:rsidRPr="00000000">
        <w:rPr>
          <w:i w:val="1"/>
          <w:i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de lançamento simularam de forma fiel o fluxo de trabalho de uma engenharia de software profissional. Tivemos que lidar com mesclagem de código, revisões de scripts e o desafio contínuo de manter a comunicação alinhada para evitar inconsistências no modelo.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Conclusão: </w:t>
      </w:r>
      <w:r w:rsidDel="00000000" w:rsidR="00000000" w:rsidRPr="00000000">
        <w:rPr>
          <w:rtl w:val="0"/>
        </w:rPr>
        <w:t xml:space="preserve">Ao fim do trabalho conseguimos entender o quão importante é fazer uma modelagem bem estruturada, entender o processo e suas regras e só então partir para de fato a construção bem estruturada para não gerar um retrabalho ou um banco mal estruturado.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