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Segoe UI" w:hAnsi="Segoe UI"/>
          <w:b/>
          <w:color w:val="2563EB"/>
          <w:sz w:val="22"/>
        </w:rPr>
        <w:t>SISTEMA DE GESTIÓN Y RECONSTRUCCIÓN DE MOTORES</w:t>
      </w:r>
    </w:p>
    <w:p>
      <w:pPr>
        <w:spacing w:before="0" w:after="240"/>
      </w:pPr>
      <w:r>
        <w:rPr>
          <w:rFonts w:ascii="Segoe UI" w:hAnsi="Segoe UI"/>
          <w:b/>
          <w:color w:val="1E3A8A"/>
          <w:sz w:val="52"/>
        </w:rPr>
        <w:t>MANUAL DE USUARIO</w:t>
        <w:br/>
        <w:t>PORTAL DE SEGUIMIENTO PARA CLIENTES</w:t>
      </w:r>
    </w:p>
    <w:p>
      <w:pPr>
        <w:spacing w:before="0" w:after="480"/>
      </w:pPr>
      <w:r>
        <w:rPr>
          <w:rFonts w:ascii="Segoe UI" w:hAnsi="Segoe UI"/>
          <w:color w:val="475569"/>
          <w:sz w:val="26"/>
        </w:rPr>
        <w:t>Guía Integral de Consulta Pública en Tiempo Real, Códigos QR, Trazabilidad Mecánica y Comunicación de Orden de Trabajo</w:t>
      </w:r>
    </w:p>
    <w:tbl>
      <w:tblPr>
        <w:tblW w:type="auto" w:w="0"/>
        <w:jc w:val="center"/>
        <w:tblLook w:firstColumn="1" w:firstRow="1" w:lastColumn="0" w:lastRow="0" w:noHBand="0" w:noVBand="1" w:val="04A0"/>
      </w:tblPr>
      <w:tblGrid>
        <w:gridCol w:w="4680"/>
        <w:gridCol w:w="4680"/>
      </w:tblGrid>
      <w:tr>
        <w:tc>
          <w:tcPr>
            <w:tcW w:type="dxa" w:w="3168"/>
          </w:tcPr>
          <w:p>
            <w:pPr>
              <w:spacing w:before="40" w:after="40"/>
            </w:pPr>
            <w:r>
              <w:rPr>
                <w:rFonts w:ascii="Segoe UI" w:hAnsi="Segoe UI"/>
                <w:b/>
                <w:color w:val="1E3A8A"/>
                <w:sz w:val="19"/>
              </w:rPr>
              <w:t>Módulo del Sistema:</w:t>
            </w:r>
          </w:p>
        </w:tc>
        <w:tc>
          <w:tcPr>
            <w:tcW w:type="dxa" w:w="6192"/>
          </w:tcPr>
          <w:p>
            <w:pPr>
              <w:spacing w:before="40" w:after="40"/>
            </w:pPr>
            <w:r>
              <w:rPr>
                <w:rFonts w:ascii="Segoe UI" w:hAnsi="Segoe UI"/>
                <w:color w:val="0F172A"/>
                <w:sz w:val="19"/>
              </w:rPr>
              <w:t>Portal Público de Consulta de Órdenes (Public Tracking)</w:t>
            </w:r>
          </w:p>
        </w:tc>
      </w:tr>
      <w:tr>
        <w:tc>
          <w:tcPr>
            <w:tcW w:type="dxa" w:w="3168"/>
          </w:tcPr>
          <w:p>
            <w:pPr>
              <w:spacing w:before="40" w:after="40"/>
            </w:pPr>
            <w:r>
              <w:rPr>
                <w:rFonts w:ascii="Segoe UI" w:hAnsi="Segoe UI"/>
                <w:b/>
                <w:color w:val="1E3A8A"/>
                <w:sz w:val="19"/>
              </w:rPr>
              <w:t>Dirigido a:</w:t>
            </w:r>
          </w:p>
        </w:tc>
        <w:tc>
          <w:tcPr>
            <w:tcW w:type="dxa" w:w="6192"/>
          </w:tcPr>
          <w:p>
            <w:pPr>
              <w:spacing w:before="40" w:after="40"/>
            </w:pPr>
            <w:r>
              <w:rPr>
                <w:rFonts w:ascii="Segoe UI" w:hAnsi="Segoe UI"/>
                <w:color w:val="0F172A"/>
                <w:sz w:val="19"/>
              </w:rPr>
              <w:t>Clientes Particulares, Flotillas Comerciales y Talleres Externos</w:t>
            </w:r>
          </w:p>
        </w:tc>
      </w:tr>
      <w:tr>
        <w:tc>
          <w:tcPr>
            <w:tcW w:type="dxa" w:w="3168"/>
          </w:tcPr>
          <w:p>
            <w:pPr>
              <w:spacing w:before="40" w:after="40"/>
            </w:pPr>
            <w:r>
              <w:rPr>
                <w:rFonts w:ascii="Segoe UI" w:hAnsi="Segoe UI"/>
                <w:b/>
                <w:color w:val="1E3A8A"/>
                <w:sz w:val="19"/>
              </w:rPr>
              <w:t>URL de Producción:</w:t>
            </w:r>
          </w:p>
        </w:tc>
        <w:tc>
          <w:tcPr>
            <w:tcW w:type="dxa" w:w="6192"/>
          </w:tcPr>
          <w:p>
            <w:pPr>
              <w:spacing w:before="40" w:after="40"/>
            </w:pPr>
            <w:r>
              <w:rPr>
                <w:rFonts w:ascii="Segoe UI" w:hAnsi="Segoe UI"/>
                <w:color w:val="0F172A"/>
                <w:sz w:val="19"/>
              </w:rPr>
              <w:t>https://sistema-motores-frontend.vercel.app/seguimiento</w:t>
            </w:r>
          </w:p>
        </w:tc>
      </w:tr>
      <w:tr>
        <w:tc>
          <w:tcPr>
            <w:tcW w:type="dxa" w:w="3168"/>
          </w:tcPr>
          <w:p>
            <w:pPr>
              <w:spacing w:before="40" w:after="40"/>
            </w:pPr>
            <w:r>
              <w:rPr>
                <w:rFonts w:ascii="Segoe UI" w:hAnsi="Segoe UI"/>
                <w:b/>
                <w:color w:val="1E3A8A"/>
                <w:sz w:val="19"/>
              </w:rPr>
              <w:t>Versión del Sistema:</w:t>
            </w:r>
          </w:p>
        </w:tc>
        <w:tc>
          <w:tcPr>
            <w:tcW w:type="dxa" w:w="6192"/>
          </w:tcPr>
          <w:p>
            <w:pPr>
              <w:spacing w:before="40" w:after="40"/>
            </w:pPr>
            <w:r>
              <w:rPr>
                <w:rFonts w:ascii="Segoe UI" w:hAnsi="Segoe UI"/>
                <w:color w:val="0F172A"/>
                <w:sz w:val="19"/>
              </w:rPr>
              <w:t>v2.4.0-Production (Build 2026)</w:t>
            </w:r>
          </w:p>
        </w:tc>
      </w:tr>
      <w:tr>
        <w:tc>
          <w:tcPr>
            <w:tcW w:type="dxa" w:w="3168"/>
          </w:tcPr>
          <w:p>
            <w:pPr>
              <w:spacing w:before="40" w:after="40"/>
            </w:pPr>
            <w:r>
              <w:rPr>
                <w:rFonts w:ascii="Segoe UI" w:hAnsi="Segoe UI"/>
                <w:b/>
                <w:color w:val="1E3A8A"/>
                <w:sz w:val="19"/>
              </w:rPr>
              <w:t>Fecha de Publicación:</w:t>
            </w:r>
          </w:p>
        </w:tc>
        <w:tc>
          <w:tcPr>
            <w:tcW w:type="dxa" w:w="6192"/>
          </w:tcPr>
          <w:p>
            <w:pPr>
              <w:spacing w:before="40" w:after="40"/>
            </w:pPr>
            <w:r>
              <w:rPr>
                <w:rFonts w:ascii="Segoe UI" w:hAnsi="Segoe UI"/>
                <w:color w:val="0F172A"/>
                <w:sz w:val="19"/>
              </w:rPr>
              <w:t>Octubre 2026</w:t>
            </w:r>
          </w:p>
        </w:tc>
      </w:tr>
    </w:tbl>
    <w:p>
      <w:r>
        <w:br w:type="page"/>
      </w:r>
    </w:p>
    <w:p>
      <w:pPr>
        <w:keepNext/>
        <w:spacing w:before="480" w:after="160"/>
      </w:pPr>
      <w:r>
        <w:rPr>
          <w:rFonts w:ascii="Segoe UI" w:hAnsi="Segoe UI"/>
          <w:b/>
          <w:color w:val="1E3A8A"/>
          <w:sz w:val="40"/>
        </w:rPr>
        <w:t>TABLA DE CONTENIDO</w:t>
      </w:r>
    </w:p>
    <w:tbl>
      <w:tblPr>
        <w:tblW w:type="auto" w:w="0"/>
        <w:jc w:val="center"/>
        <w:tblLook w:firstColumn="1" w:firstRow="1" w:lastColumn="0" w:lastRow="0" w:noHBand="0" w:noVBand="1" w:val="04A0"/>
      </w:tblPr>
      <w:tblGrid>
        <w:gridCol w:w="4680"/>
        <w:gridCol w:w="4680"/>
      </w:tblGrid>
      <w:tr>
        <w:tc>
          <w:tcPr>
            <w:tcW w:type="dxa" w:w="8064"/>
          </w:tcPr>
          <w:p>
            <w:pPr>
              <w:spacing w:before="40" w:after="40"/>
            </w:pPr>
            <w:r>
              <w:rPr>
                <w:rFonts w:ascii="Segoe UI" w:hAnsi="Segoe UI"/>
                <w:color w:val="0F172A"/>
                <w:sz w:val="19"/>
              </w:rPr>
              <w:t>Capítulo 1: Introducción y Propósito del Portal de Clientes</w:t>
            </w:r>
          </w:p>
        </w:tc>
        <w:tc>
          <w:tcPr>
            <w:tcW w:type="dxa" w:w="1296"/>
          </w:tcPr>
          <w:p>
            <w:pPr>
              <w:spacing w:before="40" w:after="40"/>
              <w:jc w:val="right"/>
            </w:pPr>
            <w:r>
              <w:rPr>
                <w:rFonts w:ascii="Segoe UI" w:hAnsi="Segoe UI"/>
                <w:b/>
                <w:color w:val="2563EB"/>
                <w:sz w:val="19"/>
              </w:rPr>
              <w:t>2</w:t>
            </w:r>
          </w:p>
        </w:tc>
      </w:tr>
      <w:tr>
        <w:tc>
          <w:tcPr>
            <w:tcW w:type="dxa" w:w="8064"/>
          </w:tcPr>
          <w:p>
            <w:pPr>
              <w:spacing w:before="40" w:after="40"/>
            </w:pPr>
            <w:r>
              <w:rPr>
                <w:rFonts w:ascii="Segoe UI" w:hAnsi="Segoe UI"/>
                <w:color w:val="0F172A"/>
                <w:sz w:val="19"/>
              </w:rPr>
              <w:t>Capítulo 2: Formas de Acceso al Seguimiento de la Reparación</w:t>
            </w:r>
          </w:p>
        </w:tc>
        <w:tc>
          <w:tcPr>
            <w:tcW w:type="dxa" w:w="1296"/>
          </w:tcPr>
          <w:p>
            <w:pPr>
              <w:spacing w:before="40" w:after="40"/>
              <w:jc w:val="right"/>
            </w:pPr>
            <w:r>
              <w:rPr>
                <w:rFonts w:ascii="Segoe UI" w:hAnsi="Segoe UI"/>
                <w:b/>
                <w:color w:val="2563EB"/>
                <w:sz w:val="19"/>
              </w:rPr>
              <w:t>3</w:t>
            </w:r>
          </w:p>
        </w:tc>
      </w:tr>
      <w:tr>
        <w:tc>
          <w:tcPr>
            <w:tcW w:type="dxa" w:w="8064"/>
          </w:tcPr>
          <w:p>
            <w:pPr>
              <w:spacing w:before="40" w:after="40"/>
            </w:pPr>
            <w:r>
              <w:rPr>
                <w:rFonts w:ascii="Segoe UI" w:hAnsi="Segoe UI"/>
                <w:color w:val="0F172A"/>
                <w:sz w:val="19"/>
              </w:rPr>
              <w:t>Capítulo 3: Interfaz de Búsqueda y Validación de Seguridad</w:t>
            </w:r>
          </w:p>
        </w:tc>
        <w:tc>
          <w:tcPr>
            <w:tcW w:type="dxa" w:w="1296"/>
          </w:tcPr>
          <w:p>
            <w:pPr>
              <w:spacing w:before="40" w:after="40"/>
              <w:jc w:val="right"/>
            </w:pPr>
            <w:r>
              <w:rPr>
                <w:rFonts w:ascii="Segoe UI" w:hAnsi="Segoe UI"/>
                <w:b/>
                <w:color w:val="2563EB"/>
                <w:sz w:val="19"/>
              </w:rPr>
              <w:t>4</w:t>
            </w:r>
          </w:p>
        </w:tc>
      </w:tr>
      <w:tr>
        <w:tc>
          <w:tcPr>
            <w:tcW w:type="dxa" w:w="8064"/>
          </w:tcPr>
          <w:p>
            <w:pPr>
              <w:spacing w:before="40" w:after="40"/>
            </w:pPr>
            <w:r>
              <w:rPr>
                <w:rFonts w:ascii="Segoe UI" w:hAnsi="Segoe UI"/>
                <w:color w:val="0F172A"/>
                <w:sz w:val="19"/>
              </w:rPr>
              <w:t>Capítulo 4: Diagnóstico y Resolución de Errores de Consulta</w:t>
            </w:r>
          </w:p>
        </w:tc>
        <w:tc>
          <w:tcPr>
            <w:tcW w:type="dxa" w:w="1296"/>
          </w:tcPr>
          <w:p>
            <w:pPr>
              <w:spacing w:before="40" w:after="40"/>
              <w:jc w:val="right"/>
            </w:pPr>
            <w:r>
              <w:rPr>
                <w:rFonts w:ascii="Segoe UI" w:hAnsi="Segoe UI"/>
                <w:b/>
                <w:color w:val="2563EB"/>
                <w:sz w:val="19"/>
              </w:rPr>
              <w:t>5</w:t>
            </w:r>
          </w:p>
        </w:tc>
      </w:tr>
      <w:tr>
        <w:tc>
          <w:tcPr>
            <w:tcW w:type="dxa" w:w="8064"/>
          </w:tcPr>
          <w:p>
            <w:pPr>
              <w:spacing w:before="40" w:after="40"/>
            </w:pPr>
            <w:r>
              <w:rPr>
                <w:rFonts w:ascii="Segoe UI" w:hAnsi="Segoe UI"/>
                <w:color w:val="0F172A"/>
                <w:sz w:val="19"/>
              </w:rPr>
              <w:t>Capítulo 5: Vista General de la Orden de Trabajo Consultada</w:t>
            </w:r>
          </w:p>
        </w:tc>
        <w:tc>
          <w:tcPr>
            <w:tcW w:type="dxa" w:w="1296"/>
          </w:tcPr>
          <w:p>
            <w:pPr>
              <w:spacing w:before="40" w:after="40"/>
              <w:jc w:val="right"/>
            </w:pPr>
            <w:r>
              <w:rPr>
                <w:rFonts w:ascii="Segoe UI" w:hAnsi="Segoe UI"/>
                <w:b/>
                <w:color w:val="2563EB"/>
                <w:sz w:val="19"/>
              </w:rPr>
              <w:t>6</w:t>
            </w:r>
          </w:p>
        </w:tc>
      </w:tr>
      <w:tr>
        <w:tc>
          <w:tcPr>
            <w:tcW w:type="dxa" w:w="8064"/>
          </w:tcPr>
          <w:p>
            <w:pPr>
              <w:spacing w:before="40" w:after="40"/>
            </w:pPr>
            <w:r>
              <w:rPr>
                <w:rFonts w:ascii="Segoe UI" w:hAnsi="Segoe UI"/>
                <w:color w:val="0F172A"/>
                <w:sz w:val="19"/>
              </w:rPr>
              <w:t>Capítulo 6: Interpretación del Avance Técnico y Barra de Progreso</w:t>
            </w:r>
          </w:p>
        </w:tc>
        <w:tc>
          <w:tcPr>
            <w:tcW w:type="dxa" w:w="1296"/>
          </w:tcPr>
          <w:p>
            <w:pPr>
              <w:spacing w:before="40" w:after="40"/>
              <w:jc w:val="right"/>
            </w:pPr>
            <w:r>
              <w:rPr>
                <w:rFonts w:ascii="Segoe UI" w:hAnsi="Segoe UI"/>
                <w:b/>
                <w:color w:val="2563EB"/>
                <w:sz w:val="19"/>
              </w:rPr>
              <w:t>7</w:t>
            </w:r>
          </w:p>
        </w:tc>
      </w:tr>
      <w:tr>
        <w:tc>
          <w:tcPr>
            <w:tcW w:type="dxa" w:w="8064"/>
          </w:tcPr>
          <w:p>
            <w:pPr>
              <w:spacing w:before="40" w:after="40"/>
            </w:pPr>
            <w:r>
              <w:rPr>
                <w:rFonts w:ascii="Segoe UI" w:hAnsi="Segoe UI"/>
                <w:color w:val="0F172A"/>
                <w:sz w:val="19"/>
              </w:rPr>
              <w:t>Capítulo 7: Cronología e Historial de Hitos Técnicos (Timeline)</w:t>
            </w:r>
          </w:p>
        </w:tc>
        <w:tc>
          <w:tcPr>
            <w:tcW w:type="dxa" w:w="1296"/>
          </w:tcPr>
          <w:p>
            <w:pPr>
              <w:spacing w:before="40" w:after="40"/>
              <w:jc w:val="right"/>
            </w:pPr>
            <w:r>
              <w:rPr>
                <w:rFonts w:ascii="Segoe UI" w:hAnsi="Segoe UI"/>
                <w:b/>
                <w:color w:val="2563EB"/>
                <w:sz w:val="19"/>
              </w:rPr>
              <w:t>8</w:t>
            </w:r>
          </w:p>
        </w:tc>
      </w:tr>
      <w:tr>
        <w:tc>
          <w:tcPr>
            <w:tcW w:type="dxa" w:w="8064"/>
          </w:tcPr>
          <w:p>
            <w:pPr>
              <w:spacing w:before="40" w:after="40"/>
            </w:pPr>
            <w:r>
              <w:rPr>
                <w:rFonts w:ascii="Segoe UI" w:hAnsi="Segoe UI"/>
                <w:color w:val="0F172A"/>
                <w:sz w:val="19"/>
              </w:rPr>
              <w:t>Capítulo 8: Ficha de Resumen, Fechas Estimadas y Canales de Soporte</w:t>
            </w:r>
          </w:p>
        </w:tc>
        <w:tc>
          <w:tcPr>
            <w:tcW w:type="dxa" w:w="1296"/>
          </w:tcPr>
          <w:p>
            <w:pPr>
              <w:spacing w:before="40" w:after="40"/>
              <w:jc w:val="right"/>
            </w:pPr>
            <w:r>
              <w:rPr>
                <w:rFonts w:ascii="Segoe UI" w:hAnsi="Segoe UI"/>
                <w:b/>
                <w:color w:val="2563EB"/>
                <w:sz w:val="19"/>
              </w:rPr>
              <w:t>9</w:t>
            </w:r>
          </w:p>
        </w:tc>
      </w:tr>
      <w:tr>
        <w:tc>
          <w:tcPr>
            <w:tcW w:type="dxa" w:w="8064"/>
          </w:tcPr>
          <w:p>
            <w:pPr>
              <w:spacing w:before="40" w:after="40"/>
            </w:pPr>
            <w:r>
              <w:rPr>
                <w:rFonts w:ascii="Segoe UI" w:hAnsi="Segoe UI"/>
                <w:color w:val="0F172A"/>
                <w:sz w:val="19"/>
              </w:rPr>
              <w:t>Capítulo 9: Acciones Finales: Impresión Oficial y Nueva Consulta</w:t>
            </w:r>
          </w:p>
        </w:tc>
        <w:tc>
          <w:tcPr>
            <w:tcW w:type="dxa" w:w="1296"/>
          </w:tcPr>
          <w:p>
            <w:pPr>
              <w:spacing w:before="40" w:after="40"/>
              <w:jc w:val="right"/>
            </w:pPr>
            <w:r>
              <w:rPr>
                <w:rFonts w:ascii="Segoe UI" w:hAnsi="Segoe UI"/>
                <w:b/>
                <w:color w:val="2563EB"/>
                <w:sz w:val="19"/>
              </w:rPr>
              <w:t>10</w:t>
            </w:r>
          </w:p>
        </w:tc>
      </w:tr>
      <w:tr>
        <w:tc>
          <w:tcPr>
            <w:tcW w:type="dxa" w:w="8064"/>
          </w:tcPr>
          <w:p>
            <w:pPr>
              <w:spacing w:before="40" w:after="40"/>
            </w:pPr>
            <w:r>
              <w:rPr>
                <w:rFonts w:ascii="Segoe UI" w:hAnsi="Segoe UI"/>
                <w:color w:val="0F172A"/>
                <w:sz w:val="19"/>
              </w:rPr>
              <w:t>Capítulo 10: Experiencia Móvil Optimizada en Smartphones y Tablets</w:t>
            </w:r>
          </w:p>
        </w:tc>
        <w:tc>
          <w:tcPr>
            <w:tcW w:type="dxa" w:w="1296"/>
          </w:tcPr>
          <w:p>
            <w:pPr>
              <w:spacing w:before="40" w:after="40"/>
              <w:jc w:val="right"/>
            </w:pPr>
            <w:r>
              <w:rPr>
                <w:rFonts w:ascii="Segoe UI" w:hAnsi="Segoe UI"/>
                <w:b/>
                <w:color w:val="2563EB"/>
                <w:sz w:val="19"/>
              </w:rPr>
              <w:t>11</w:t>
            </w:r>
          </w:p>
        </w:tc>
      </w:tr>
      <w:tr>
        <w:tc>
          <w:tcPr>
            <w:tcW w:type="dxa" w:w="8064"/>
          </w:tcPr>
          <w:p>
            <w:pPr>
              <w:spacing w:before="40" w:after="40"/>
            </w:pPr>
            <w:r>
              <w:rPr>
                <w:rFonts w:ascii="Segoe UI" w:hAnsi="Segoe UI"/>
                <w:color w:val="0F172A"/>
                <w:sz w:val="19"/>
              </w:rPr>
              <w:t>Capítulo 11: Preguntas Frecuentes del Cliente (FAQ)</w:t>
            </w:r>
          </w:p>
        </w:tc>
        <w:tc>
          <w:tcPr>
            <w:tcW w:type="dxa" w:w="1296"/>
          </w:tcPr>
          <w:p>
            <w:pPr>
              <w:spacing w:before="40" w:after="40"/>
              <w:jc w:val="right"/>
            </w:pPr>
            <w:r>
              <w:rPr>
                <w:rFonts w:ascii="Segoe UI" w:hAnsi="Segoe UI"/>
                <w:b/>
                <w:color w:val="2563EB"/>
                <w:sz w:val="19"/>
              </w:rPr>
              <w:t>12</w:t>
            </w:r>
          </w:p>
        </w:tc>
      </w:tr>
      <w:tr>
        <w:tc>
          <w:tcPr>
            <w:tcW w:type="dxa" w:w="8064"/>
          </w:tcPr>
          <w:p>
            <w:pPr>
              <w:spacing w:before="40" w:after="40"/>
            </w:pPr>
            <w:r>
              <w:rPr>
                <w:rFonts w:ascii="Segoe UI" w:hAnsi="Segoe UI"/>
                <w:color w:val="0F172A"/>
                <w:sz w:val="19"/>
              </w:rPr>
              <w:t>Capítulo 12: Directorio de Atención y Asistencia al Cliente</w:t>
            </w:r>
          </w:p>
        </w:tc>
        <w:tc>
          <w:tcPr>
            <w:tcW w:type="dxa" w:w="1296"/>
          </w:tcPr>
          <w:p>
            <w:pPr>
              <w:spacing w:before="40" w:after="40"/>
              <w:jc w:val="right"/>
            </w:pPr>
            <w:r>
              <w:rPr>
                <w:rFonts w:ascii="Segoe UI" w:hAnsi="Segoe UI"/>
                <w:b/>
                <w:color w:val="2563EB"/>
                <w:sz w:val="19"/>
              </w:rPr>
              <w:t>13</w:t>
            </w:r>
          </w:p>
        </w:tc>
      </w:tr>
    </w:tbl>
    <w:p>
      <w:r>
        <w:br w:type="page"/>
      </w:r>
    </w:p>
    <w:p>
      <w:pPr>
        <w:keepNext/>
        <w:spacing w:before="480" w:after="160"/>
      </w:pPr>
      <w:r>
        <w:rPr>
          <w:rFonts w:ascii="Segoe UI" w:hAnsi="Segoe UI"/>
          <w:b/>
          <w:color w:val="1E3A8A"/>
          <w:sz w:val="40"/>
        </w:rPr>
        <w:t>Capítulo 1: Introducción y Propósito del Portal de Clientes</w:t>
      </w:r>
    </w:p>
    <w:p>
      <w:pPr>
        <w:spacing w:before="0" w:after="120" w:line="276" w:lineRule="auto"/>
      </w:pPr>
      <w:r>
        <w:rPr>
          <w:rFonts w:ascii="Segoe UI" w:hAnsi="Segoe UI"/>
          <w:i w:val="0"/>
          <w:color w:val="0F172A"/>
          <w:sz w:val="20"/>
        </w:rPr>
        <w:t>El Portal de Seguimiento para Clientes es una herramienta digital de acceso público diseñada exclusivamente para ofrecer transparencia absoluta y tranquilidad a los propietarios durante el proceso de reconstrucción, rectificación o diagnóstico de sus motores automotrices e industriales.</w:t>
      </w:r>
    </w:p>
    <w:p>
      <w:pPr>
        <w:keepNext/>
        <w:spacing w:before="280" w:after="120"/>
      </w:pPr>
      <w:r>
        <w:rPr>
          <w:rFonts w:ascii="Segoe UI" w:hAnsi="Segoe UI"/>
          <w:b/>
          <w:color w:val="2563EB"/>
          <w:sz w:val="26"/>
        </w:rPr>
        <w:t>1.1. Filosofía de Transparencia Técnica</w:t>
      </w:r>
    </w:p>
    <w:p>
      <w:pPr>
        <w:spacing w:before="0" w:after="120" w:line="276" w:lineRule="auto"/>
      </w:pPr>
      <w:r>
        <w:rPr>
          <w:rFonts w:ascii="Segoe UI" w:hAnsi="Segoe UI"/>
          <w:i w:val="0"/>
          <w:color w:val="0F172A"/>
          <w:sz w:val="20"/>
        </w:rPr>
        <w:t>Tradicionalmente, en los talleres de reconstrucción mecánica, el cliente desconoce el estado real de su motor hasta recibir una llamada telefónica o acudir personalmente al establecimiento. Con este portal, la empresa pone a disposición del cliente una ventana digital en tiempo real donde puede verificar exactamente qué fase técnica se está ejecutando, el porcentaje completado y la cronología autorizada por los rectificadores y mecánicos asignados.</w:t>
      </w:r>
    </w:p>
    <w:p>
      <w:pPr>
        <w:keepNext/>
        <w:spacing w:before="280" w:after="120"/>
      </w:pPr>
      <w:r>
        <w:rPr>
          <w:rFonts w:ascii="Segoe UI" w:hAnsi="Segoe UI"/>
          <w:b/>
          <w:color w:val="2563EB"/>
          <w:sz w:val="26"/>
        </w:rPr>
        <w:t>1.2. Principios de Seguridad y Privacidad</w:t>
      </w:r>
    </w:p>
    <w:tbl>
      <w:tblPr>
        <w:tblW w:type="auto" w:w="0"/>
        <w:jc w:val="center"/>
        <w:tblLook w:firstColumn="1" w:firstRow="1" w:lastColumn="0" w:lastRow="0" w:noHBand="0" w:noVBand="1" w:val="04A0"/>
      </w:tblPr>
      <w:tblGrid>
        <w:gridCol w:w="9360"/>
      </w:tblGrid>
      <w:tr>
        <w:tc>
          <w:tcPr>
            <w:tcW w:type="dxa" w:w="9360"/>
            <w:shd w:fill="EEF2FF"/>
            <w:tcBorders>
              <w:top w:val="none"/>
              <w:left w:val="single" w:sz="24" w:space="0" w:color="6366F1"/>
              <w:bottom w:val="none"/>
              <w:right w:val="none"/>
            </w:tcBorders>
          </w:tcPr>
          <w:p>
            <w:pPr>
              <w:spacing w:before="80" w:after="40"/>
            </w:pPr>
            <w:r>
              <w:rPr>
                <w:rFonts w:ascii="Segoe UI" w:hAnsi="Segoe UI"/>
                <w:b/>
                <w:color w:val="4338CA"/>
                <w:sz w:val="20"/>
              </w:rPr>
              <w:t xml:space="preserve">[SEGURIDAD Y PRIVACIDAD] </w:t>
            </w:r>
            <w:r>
              <w:rPr>
                <w:rFonts w:ascii="Segoe UI" w:hAnsi="Segoe UI"/>
                <w:color w:val="0F172A"/>
                <w:sz w:val="19"/>
              </w:rPr>
              <w:t>Este portal fue concebido bajo el principio de PRIVACIDAD ESTRICTA Y SEGURIDAD TÉCNICA. No requiere la creación de cuentas de usuario, no solicita correos ni contraseñas, y no expone públicamente saldos adeudados, montos financieros, costos de repuestos, identidades de mecánicos ni notas internas confidenciales del taller.</w:t>
            </w:r>
          </w:p>
        </w:tc>
      </w:tr>
    </w:tbl>
    <w:p>
      <w:pPr>
        <w:spacing w:after="80"/>
      </w:pPr>
    </w:p>
    <w:p>
      <w:pPr>
        <w:spacing w:before="0" w:after="120" w:line="276" w:lineRule="auto"/>
      </w:pPr>
      <w:r>
        <w:rPr>
          <w:rFonts w:ascii="Segoe UI" w:hAnsi="Segoe UI"/>
          <w:i w:val="0"/>
          <w:color w:val="0F172A"/>
          <w:sz w:val="20"/>
        </w:rPr>
        <w:t>La siguiente tabla resume los datos que el cliente SÍ puede consultar frente a aquellos estrictamente reservados para el personal interno:</w:t>
      </w:r>
    </w:p>
    <w:tbl>
      <w:tblPr>
        <w:tblW w:type="auto" w:w="0"/>
        <w:jc w:val="center"/>
        <w:tblLook w:firstColumn="1" w:firstRow="1" w:lastColumn="0" w:lastRow="0" w:noHBand="0" w:noVBand="1" w:val="04A0"/>
      </w:tblPr>
      <w:tblGrid>
        <w:gridCol w:w="4680"/>
        <w:gridCol w:w="4680"/>
      </w:tblGrid>
      <w:tr>
        <w:tc>
          <w:tcPr>
            <w:tcW w:type="dxa" w:w="4680"/>
            <w:shd w:fill="1E3A8A"/>
          </w:tcPr>
          <w:p>
            <w:r>
              <w:rPr>
                <w:rFonts w:ascii="Segoe UI" w:hAnsi="Segoe UI"/>
                <w:b/>
                <w:color w:val="FFFFFF"/>
                <w:sz w:val="19"/>
              </w:rPr>
              <w:t>Información Visible para el Cliente (Pública)</w:t>
            </w:r>
          </w:p>
        </w:tc>
        <w:tc>
          <w:tcPr>
            <w:tcW w:type="dxa" w:w="4680"/>
            <w:shd w:fill="1E3A8A"/>
          </w:tcPr>
          <w:p>
            <w:r>
              <w:rPr>
                <w:rFonts w:ascii="Segoe UI" w:hAnsi="Segoe UI"/>
                <w:b/>
                <w:color w:val="FFFFFF"/>
                <w:sz w:val="19"/>
              </w:rPr>
              <w:t>Información Confidencial Protegida (Taller)</w:t>
            </w:r>
          </w:p>
        </w:tc>
      </w:tr>
      <w:tr>
        <w:tc>
          <w:tcPr>
            <w:tcW w:type="dxa" w:w="4608"/>
          </w:tcPr>
          <w:p>
            <w:pPr>
              <w:spacing w:before="40" w:after="40"/>
            </w:pPr>
            <w:r>
              <w:rPr>
                <w:rFonts w:ascii="Segoe UI" w:hAnsi="Segoe UI"/>
                <w:color w:val="0F172A"/>
                <w:sz w:val="18"/>
              </w:rPr>
              <w:t>Número de orden único (Ej. OT-2026-00003)</w:t>
            </w:r>
          </w:p>
        </w:tc>
        <w:tc>
          <w:tcPr>
            <w:tcW w:type="dxa" w:w="4752"/>
          </w:tcPr>
          <w:p>
            <w:pPr>
              <w:spacing w:before="40" w:after="40"/>
            </w:pPr>
            <w:r>
              <w:rPr>
                <w:rFonts w:ascii="Segoe UI" w:hAnsi="Segoe UI"/>
                <w:color w:val="0F172A"/>
                <w:sz w:val="18"/>
              </w:rPr>
              <w:t>Cédula, dirección o teléfono personal del cliente</w:t>
            </w:r>
          </w:p>
        </w:tc>
      </w:tr>
      <w:tr>
        <w:tc>
          <w:tcPr>
            <w:tcW w:type="dxa" w:w="4608"/>
            <w:shd w:fill="F8FAFC"/>
          </w:tcPr>
          <w:p>
            <w:pPr>
              <w:spacing w:before="40" w:after="40"/>
            </w:pPr>
            <w:r>
              <w:rPr>
                <w:rFonts w:ascii="Segoe UI" w:hAnsi="Segoe UI"/>
                <w:color w:val="0F172A"/>
                <w:sz w:val="18"/>
              </w:rPr>
              <w:t>Marca, modelo y tipo de motor registrado</w:t>
            </w:r>
          </w:p>
        </w:tc>
        <w:tc>
          <w:tcPr>
            <w:tcW w:type="dxa" w:w="4752"/>
            <w:shd w:fill="F8FAFC"/>
          </w:tcPr>
          <w:p>
            <w:pPr>
              <w:spacing w:before="40" w:after="40"/>
            </w:pPr>
            <w:r>
              <w:rPr>
                <w:rFonts w:ascii="Segoe UI" w:hAnsi="Segoe UI"/>
                <w:color w:val="0F172A"/>
                <w:sz w:val="18"/>
              </w:rPr>
              <w:t>Precios unitarios, costos de mano de obra y facturación</w:t>
            </w:r>
          </w:p>
        </w:tc>
      </w:tr>
      <w:tr>
        <w:tc>
          <w:tcPr>
            <w:tcW w:type="dxa" w:w="4608"/>
          </w:tcPr>
          <w:p>
            <w:pPr>
              <w:spacing w:before="40" w:after="40"/>
            </w:pPr>
            <w:r>
              <w:rPr>
                <w:rFonts w:ascii="Segoe UI" w:hAnsi="Segoe UI"/>
                <w:color w:val="0F172A"/>
                <w:sz w:val="18"/>
              </w:rPr>
              <w:t>Porcentaje de avance en taller (0% a 100%)</w:t>
            </w:r>
          </w:p>
        </w:tc>
        <w:tc>
          <w:tcPr>
            <w:tcW w:type="dxa" w:w="4752"/>
          </w:tcPr>
          <w:p>
            <w:pPr>
              <w:spacing w:before="40" w:after="40"/>
            </w:pPr>
            <w:r>
              <w:rPr>
                <w:rFonts w:ascii="Segoe UI" w:hAnsi="Segoe UI"/>
                <w:color w:val="0F172A"/>
                <w:sz w:val="18"/>
              </w:rPr>
              <w:t>Saldos pendientes, anticipos o abonos monetarios</w:t>
            </w:r>
          </w:p>
        </w:tc>
      </w:tr>
      <w:tr>
        <w:tc>
          <w:tcPr>
            <w:tcW w:type="dxa" w:w="4608"/>
            <w:shd w:fill="F8FAFC"/>
          </w:tcPr>
          <w:p>
            <w:pPr>
              <w:spacing w:before="40" w:after="40"/>
            </w:pPr>
            <w:r>
              <w:rPr>
                <w:rFonts w:ascii="Segoe UI" w:hAnsi="Segoe UI"/>
                <w:color w:val="0F172A"/>
                <w:sz w:val="18"/>
              </w:rPr>
              <w:t>Hitos y bitácora técnica autorizada (fechas y avances)</w:t>
            </w:r>
          </w:p>
        </w:tc>
        <w:tc>
          <w:tcPr>
            <w:tcW w:type="dxa" w:w="4752"/>
            <w:shd w:fill="F8FAFC"/>
          </w:tcPr>
          <w:p>
            <w:pPr>
              <w:spacing w:before="40" w:after="40"/>
            </w:pPr>
            <w:r>
              <w:rPr>
                <w:rFonts w:ascii="Segoe UI" w:hAnsi="Segoe UI"/>
                <w:color w:val="0F172A"/>
                <w:sz w:val="18"/>
              </w:rPr>
              <w:t>Nombres y apellidos de los técnicos asignados</w:t>
            </w:r>
          </w:p>
        </w:tc>
      </w:tr>
      <w:tr>
        <w:tc>
          <w:tcPr>
            <w:tcW w:type="dxa" w:w="4608"/>
          </w:tcPr>
          <w:p>
            <w:pPr>
              <w:spacing w:before="40" w:after="40"/>
            </w:pPr>
            <w:r>
              <w:rPr>
                <w:rFonts w:ascii="Segoe UI" w:hAnsi="Segoe UI"/>
                <w:color w:val="0F172A"/>
                <w:sz w:val="18"/>
              </w:rPr>
              <w:t>Fecha estimada de entrega y alertas operativas</w:t>
            </w:r>
          </w:p>
        </w:tc>
        <w:tc>
          <w:tcPr>
            <w:tcW w:type="dxa" w:w="4752"/>
          </w:tcPr>
          <w:p>
            <w:pPr>
              <w:spacing w:before="40" w:after="40"/>
            </w:pPr>
            <w:r>
              <w:rPr>
                <w:rFonts w:ascii="Segoe UI" w:hAnsi="Segoe UI"/>
                <w:color w:val="0F172A"/>
                <w:sz w:val="18"/>
              </w:rPr>
              <w:t>Notas mecánicas internas de fricción o inventario</w:t>
            </w:r>
          </w:p>
        </w:tc>
      </w:tr>
    </w:tbl>
    <w:p>
      <w:pPr>
        <w:spacing w:after="120"/>
      </w:pPr>
    </w:p>
    <w:p>
      <w:pPr>
        <w:keepNext/>
        <w:spacing w:before="480" w:after="160"/>
      </w:pPr>
      <w:r>
        <w:rPr>
          <w:rFonts w:ascii="Segoe UI" w:hAnsi="Segoe UI"/>
          <w:b/>
          <w:color w:val="1E3A8A"/>
          <w:sz w:val="40"/>
        </w:rPr>
        <w:t>Capítulo 2: Formas de Acceso al Seguimiento de la Reparación</w:t>
      </w:r>
    </w:p>
    <w:p>
      <w:pPr>
        <w:spacing w:before="0" w:after="120" w:line="276" w:lineRule="auto"/>
      </w:pPr>
      <w:r>
        <w:rPr>
          <w:rFonts w:ascii="Segoe UI" w:hAnsi="Segoe UI"/>
          <w:i w:val="0"/>
          <w:color w:val="0F172A"/>
          <w:sz w:val="20"/>
        </w:rPr>
        <w:t>El sistema ofrece tres métodos sencillos e intuitivos para que el cliente acceda al estado de su orden, adaptándose tanto a usuarios con teléfonos inteligentes como a consultas desde computadoras de escritorio:</w:t>
      </w:r>
    </w:p>
    <w:p>
      <w:pPr>
        <w:keepNext/>
        <w:spacing w:before="280" w:after="120"/>
      </w:pPr>
      <w:r>
        <w:rPr>
          <w:rFonts w:ascii="Segoe UI" w:hAnsi="Segoe UI"/>
          <w:b/>
          <w:color w:val="2563EB"/>
          <w:sz w:val="26"/>
        </w:rPr>
        <w:t>2.1. Método 1: Escaneo de Código QR desde el Comprobante Físico (Recomendado)</w:t>
      </w:r>
    </w:p>
    <w:p>
      <w:pPr>
        <w:spacing w:before="0" w:after="120" w:line="276" w:lineRule="auto"/>
      </w:pPr>
      <w:r>
        <w:rPr>
          <w:rFonts w:ascii="Segoe UI" w:hAnsi="Segoe UI"/>
          <w:i w:val="0"/>
          <w:color w:val="0F172A"/>
          <w:sz w:val="20"/>
        </w:rPr>
        <w:t>Al ingresar el motor en recepción o al emitirse el comprobante de caja, se imprime una tarjeta de seguimiento con un código QR de alta resolución. El cliente únicamente debe abrir la cámara de su teléfono móvil o cualquier lector de códigos QR y apuntar a la imagen. Automáticamente, el navegador se abrirá en la página exacta de su orden sin necesidad de teclear nada.</w:t>
      </w:r>
    </w:p>
    <w:p>
      <w:pPr>
        <w:keepNext/>
        <w:spacing w:before="160" w:after="60"/>
        <w:jc w:val="center"/>
      </w:pPr>
      <w:r>
        <w:drawing>
          <wp:inline xmlns:a="http://schemas.openxmlformats.org/drawingml/2006/main" xmlns:pic="http://schemas.openxmlformats.org/drawingml/2006/picture">
            <wp:extent cx="3474720" cy="3433518"/>
            <wp:docPr id="1" name="Picture 1"/>
            <wp:cNvGraphicFramePr>
              <a:graphicFrameLocks noChangeAspect="1"/>
            </wp:cNvGraphicFramePr>
            <a:graphic>
              <a:graphicData uri="http://schemas.openxmlformats.org/drawingml/2006/picture">
                <pic:pic>
                  <pic:nvPicPr>
                    <pic:cNvPr id="0" name="10_tarjeta_qr_comprobante.png"/>
                    <pic:cNvPicPr/>
                  </pic:nvPicPr>
                  <pic:blipFill>
                    <a:blip r:embed="rId10"/>
                    <a:stretch>
                      <a:fillRect/>
                    </a:stretch>
                  </pic:blipFill>
                  <pic:spPr>
                    <a:xfrm>
                      <a:off x="0" y="0"/>
                      <a:ext cx="3474720" cy="3433518"/>
                    </a:xfrm>
                    <a:prstGeom prst="rect"/>
                  </pic:spPr>
                </pic:pic>
              </a:graphicData>
            </a:graphic>
          </wp:inline>
        </w:drawing>
      </w:r>
    </w:p>
    <w:p>
      <w:pPr>
        <w:spacing w:before="0" w:after="200"/>
        <w:jc w:val="center"/>
      </w:pPr>
      <w:r>
        <w:rPr>
          <w:rFonts w:ascii="Segoe UI" w:hAnsi="Segoe UI"/>
          <w:i/>
          <w:color w:val="475569"/>
          <w:sz w:val="18"/>
        </w:rPr>
        <w:t>Figura 1: Tarjeta física y digital entregada al cliente con Código QR y Código Alfanumérico Privado.</w:t>
      </w:r>
    </w:p>
    <w:p>
      <w:pPr>
        <w:keepNext/>
        <w:spacing w:before="280" w:after="120"/>
      </w:pPr>
      <w:r>
        <w:rPr>
          <w:rFonts w:ascii="Segoe UI" w:hAnsi="Segoe UI"/>
          <w:b/>
          <w:color w:val="2563EB"/>
          <w:sz w:val="26"/>
        </w:rPr>
        <w:t>2.2. Método 2: Enlace Directo por WhatsApp o Mensajería Digital</w:t>
      </w:r>
    </w:p>
    <w:p>
      <w:pPr>
        <w:spacing w:before="0" w:after="120" w:line="276" w:lineRule="auto"/>
      </w:pPr>
      <w:r>
        <w:rPr>
          <w:rFonts w:ascii="Segoe UI" w:hAnsi="Segoe UI"/>
          <w:i w:val="0"/>
          <w:color w:val="0F172A"/>
          <w:sz w:val="20"/>
        </w:rPr>
        <w:t>El personal de recepción puede enviar el enlace web oficial directamente al WhatsApp del cliente registrado. Este enlace ya contiene integrados el número de orden y el código de seguridad (token criptográfico), de modo que basta un solo toque en el chat para visualizar el progreso.</w:t>
      </w:r>
    </w:p>
    <w:p>
      <w:pPr>
        <w:keepNext/>
        <w:spacing w:before="280" w:after="120"/>
      </w:pPr>
      <w:r>
        <w:rPr>
          <w:rFonts w:ascii="Segoe UI" w:hAnsi="Segoe UI"/>
          <w:b/>
          <w:color w:val="2563EB"/>
          <w:sz w:val="26"/>
        </w:rPr>
        <w:t>2.3. Método 3: Ingreso Manual mediante el Portal Web</w:t>
      </w:r>
    </w:p>
    <w:p>
      <w:pPr>
        <w:spacing w:before="0" w:after="120" w:line="276" w:lineRule="auto"/>
      </w:pPr>
      <w:r>
        <w:rPr>
          <w:rFonts w:ascii="Segoe UI" w:hAnsi="Segoe UI"/>
          <w:i w:val="0"/>
          <w:color w:val="0F172A"/>
          <w:sz w:val="20"/>
        </w:rPr>
        <w:t>Si el cliente prefiere consultar desde su computadora o navegador web, puede ingresar a la dirección oficial:</w:t>
      </w:r>
    </w:p>
    <w:p>
      <w:pPr>
        <w:spacing w:before="0" w:after="120" w:line="276" w:lineRule="auto"/>
      </w:pPr>
      <w:r>
        <w:rPr>
          <w:rFonts w:ascii="Segoe UI" w:hAnsi="Segoe UI"/>
          <w:b/>
          <w:color w:val="0F172A"/>
          <w:sz w:val="20"/>
        </w:rPr>
        <w:t xml:space="preserve">Enlace Oficial: </w:t>
      </w:r>
      <w:r>
        <w:rPr>
          <w:rFonts w:ascii="Segoe UI" w:hAnsi="Segoe UI"/>
          <w:i/>
          <w:color w:val="0F172A"/>
          <w:sz w:val="20"/>
        </w:rPr>
        <w:t>https://sistema-motores-frontend.vercel.app/seguimiento</w:t>
      </w:r>
    </w:p>
    <w:p>
      <w:pPr>
        <w:spacing w:before="0" w:after="120" w:line="276" w:lineRule="auto"/>
      </w:pPr>
      <w:r>
        <w:rPr>
          <w:rFonts w:ascii="Segoe UI" w:hAnsi="Segoe UI"/>
          <w:i w:val="0"/>
          <w:color w:val="0F172A"/>
          <w:sz w:val="20"/>
        </w:rPr>
        <w:t>En dicha pantalla encontrará el formulario de búsqueda segura donde digitará su número de orden y su código alfanumérico.</w:t>
      </w:r>
    </w:p>
    <w:p>
      <w:pPr>
        <w:keepNext/>
        <w:spacing w:before="480" w:after="160"/>
      </w:pPr>
      <w:r>
        <w:rPr>
          <w:rFonts w:ascii="Segoe UI" w:hAnsi="Segoe UI"/>
          <w:b/>
          <w:color w:val="1E3A8A"/>
          <w:sz w:val="40"/>
        </w:rPr>
        <w:t>Capítulo 3: Interfaz de Búsqueda y Validación de Seguridad</w:t>
      </w:r>
    </w:p>
    <w:p>
      <w:pPr>
        <w:spacing w:before="0" w:after="120" w:line="276" w:lineRule="auto"/>
      </w:pPr>
      <w:r>
        <w:rPr>
          <w:rFonts w:ascii="Segoe UI" w:hAnsi="Segoe UI"/>
          <w:i w:val="0"/>
          <w:color w:val="0F172A"/>
          <w:sz w:val="20"/>
        </w:rPr>
        <w:t>Al acceder al portal sin parámetros en el enlace, el cliente es recibido por una interfaz moderna, limpia y libre de distracciones:</w:t>
      </w:r>
    </w:p>
    <w:p>
      <w:pPr>
        <w:keepNext/>
        <w:spacing w:before="160" w:after="6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01_portal_bienvenida_formulario.png"/>
                    <pic:cNvPicPr/>
                  </pic:nvPicPr>
                  <pic:blipFill>
                    <a:blip r:embed="rId11"/>
                    <a:stretch>
                      <a:fillRect/>
                    </a:stretch>
                  </pic:blipFill>
                  <pic:spPr>
                    <a:xfrm>
                      <a:off x="0" y="0"/>
                      <a:ext cx="5120640" cy="3200400"/>
                    </a:xfrm>
                    <a:prstGeom prst="rect"/>
                  </pic:spPr>
                </pic:pic>
              </a:graphicData>
            </a:graphic>
          </wp:inline>
        </w:drawing>
      </w:r>
    </w:p>
    <w:p>
      <w:pPr>
        <w:spacing w:before="0" w:after="200"/>
        <w:jc w:val="center"/>
      </w:pPr>
      <w:r>
        <w:rPr>
          <w:rFonts w:ascii="Segoe UI" w:hAnsi="Segoe UI"/>
          <w:i/>
          <w:color w:val="475569"/>
          <w:sz w:val="18"/>
        </w:rPr>
        <w:t>Figura 2: Portal de bienvenida y formulario público de consulta segura.</w:t>
      </w:r>
    </w:p>
    <w:p>
      <w:pPr>
        <w:keepNext/>
        <w:spacing w:before="280" w:after="120"/>
      </w:pPr>
      <w:r>
        <w:rPr>
          <w:rFonts w:ascii="Segoe UI" w:hAnsi="Segoe UI"/>
          <w:b/>
          <w:color w:val="2563EB"/>
          <w:sz w:val="26"/>
        </w:rPr>
        <w:t>3.1. Campos del Formulario de Consulta</w:t>
      </w:r>
    </w:p>
    <w:p>
      <w:pPr>
        <w:pStyle w:val="ListBullet"/>
        <w:spacing w:before="0" w:after="60" w:line="276" w:lineRule="auto"/>
      </w:pPr>
      <w:r>
        <w:rPr>
          <w:rFonts w:ascii="Segoe UI" w:hAnsi="Segoe UI"/>
          <w:b/>
          <w:color w:val="0F172A"/>
          <w:sz w:val="20"/>
        </w:rPr>
        <w:t xml:space="preserve">1. Número de Orden: </w:t>
      </w:r>
      <w:r>
        <w:rPr>
          <w:rFonts w:ascii="Segoe UI" w:hAnsi="Segoe UI"/>
          <w:color w:val="0F172A"/>
          <w:sz w:val="20"/>
        </w:rPr>
        <w:t xml:space="preserve"> Es el identificador correlativo único asignado a su motor al momento de su recepción (por ejemplo: OT-2026-00003). Se encuentra en la esquina superior de su comprobante impreso.</w:t>
      </w:r>
    </w:p>
    <w:p>
      <w:pPr>
        <w:pStyle w:val="ListBullet"/>
        <w:spacing w:before="0" w:after="60" w:line="276" w:lineRule="auto"/>
      </w:pPr>
      <w:r>
        <w:rPr>
          <w:rFonts w:ascii="Segoe UI" w:hAnsi="Segoe UI"/>
          <w:b/>
          <w:color w:val="0F172A"/>
          <w:sz w:val="20"/>
        </w:rPr>
        <w:t xml:space="preserve">2. Código de Seguimiento: </w:t>
      </w:r>
      <w:r>
        <w:rPr>
          <w:rFonts w:ascii="Segoe UI" w:hAnsi="Segoe UI"/>
          <w:color w:val="0F172A"/>
          <w:sz w:val="20"/>
        </w:rPr>
        <w:t xml:space="preserve"> Clave alfanumérica de 28 caracteres generada de forma aleatoria y única para cada trabajo (por ejemplo: MTR-6576A14A1B4850973DD9AB3F). Este código actúa como su llave de privacidad para que ninguna persona ajena pueda ver el progreso de su motor.</w:t>
      </w:r>
    </w:p>
    <w:p>
      <w:pPr>
        <w:keepNext/>
        <w:spacing w:before="160" w:after="6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2_formulario_con_datos.png"/>
                    <pic:cNvPicPr/>
                  </pic:nvPicPr>
                  <pic:blipFill>
                    <a:blip r:embed="rId12"/>
                    <a:stretch>
                      <a:fillRect/>
                    </a:stretch>
                  </pic:blipFill>
                  <pic:spPr>
                    <a:xfrm>
                      <a:off x="0" y="0"/>
                      <a:ext cx="5120640" cy="3200400"/>
                    </a:xfrm>
                    <a:prstGeom prst="rect"/>
                  </pic:spPr>
                </pic:pic>
              </a:graphicData>
            </a:graphic>
          </wp:inline>
        </w:drawing>
      </w:r>
    </w:p>
    <w:p>
      <w:pPr>
        <w:spacing w:before="0" w:after="200"/>
        <w:jc w:val="center"/>
      </w:pPr>
      <w:r>
        <w:rPr>
          <w:rFonts w:ascii="Segoe UI" w:hAnsi="Segoe UI"/>
          <w:i/>
          <w:color w:val="475569"/>
          <w:sz w:val="18"/>
        </w:rPr>
        <w:t>Figura 3: Formulario debidamente completado con Número de Orden y Código Privado.</w:t>
      </w:r>
    </w:p>
    <w:p>
      <w:pPr>
        <w:keepNext/>
        <w:spacing w:before="280" w:after="120"/>
      </w:pPr>
      <w:r>
        <w:rPr>
          <w:rFonts w:ascii="Segoe UI" w:hAnsi="Segoe UI"/>
          <w:b/>
          <w:color w:val="2563EB"/>
          <w:sz w:val="26"/>
        </w:rPr>
        <w:t>3.2. Reglas Cruciales de Digitado</w:t>
      </w:r>
    </w:p>
    <w:tbl>
      <w:tblPr>
        <w:tblW w:type="auto" w:w="0"/>
        <w:jc w:val="center"/>
        <w:tblLook w:firstColumn="1" w:firstRow="1" w:lastColumn="0" w:lastRow="0" w:noHBand="0" w:noVBand="1" w:val="04A0"/>
      </w:tblPr>
      <w:tblGrid>
        <w:gridCol w:w="9360"/>
      </w:tblGrid>
      <w:tr>
        <w:tc>
          <w:tcPr>
            <w:tcW w:type="dxa" w:w="9360"/>
            <w:shd w:fill="FFFBEB"/>
            <w:tcBorders>
              <w:top w:val="none"/>
              <w:left w:val="single" w:sz="24" w:space="0" w:color="F59E0B"/>
              <w:bottom w:val="none"/>
              <w:right w:val="none"/>
            </w:tcBorders>
          </w:tcPr>
          <w:p>
            <w:pPr>
              <w:spacing w:before="80" w:after="40"/>
            </w:pPr>
            <w:r>
              <w:rPr>
                <w:rFonts w:ascii="Segoe UI" w:hAnsi="Segoe UI"/>
                <w:b/>
                <w:color w:val="B45309"/>
                <w:sz w:val="20"/>
              </w:rPr>
              <w:t xml:space="preserve">[ATENCIÓN CON MAYÚSCULAS] </w:t>
            </w:r>
            <w:r>
              <w:rPr>
                <w:rFonts w:ascii="Segoe UI" w:hAnsi="Segoe UI"/>
                <w:color w:val="0F172A"/>
                <w:sz w:val="19"/>
              </w:rPr>
              <w:t>El código de seguimiento es SENSIBLE A MAYÚSCULAS Y MINÚSCULAS. Debe ingresarse exactamente como figura en el comprobante o mensaje recibido, respetando el prefijo 'MTR-', los números, guiones y letras mayúsculas.</w:t>
            </w:r>
          </w:p>
        </w:tc>
      </w:tr>
    </w:tbl>
    <w:p>
      <w:pPr>
        <w:spacing w:after="80"/>
      </w:pPr>
    </w:p>
    <w:p>
      <w:pPr>
        <w:pStyle w:val="ListBullet"/>
        <w:spacing w:before="0" w:after="60" w:line="276" w:lineRule="auto"/>
      </w:pPr>
      <w:r>
        <w:rPr>
          <w:rFonts w:ascii="Segoe UI" w:hAnsi="Segoe UI"/>
          <w:b/>
          <w:color w:val="0F172A"/>
          <w:sz w:val="20"/>
        </w:rPr>
        <w:t xml:space="preserve">Botón 'Consultar orden': </w:t>
      </w:r>
      <w:r>
        <w:rPr>
          <w:rFonts w:ascii="Segoe UI" w:hAnsi="Segoe UI"/>
          <w:color w:val="0F172A"/>
          <w:sz w:val="20"/>
        </w:rPr>
        <w:t>Al presionar este botón, el sistema valida las credenciales y carga inmediatamente la ficha técnica.</w:t>
      </w:r>
    </w:p>
    <w:p>
      <w:pPr>
        <w:pStyle w:val="ListBullet"/>
        <w:spacing w:before="0" w:after="60" w:line="276" w:lineRule="auto"/>
      </w:pPr>
      <w:r>
        <w:rPr>
          <w:rFonts w:ascii="Segoe UI" w:hAnsi="Segoe UI"/>
          <w:b/>
          <w:color w:val="0F172A"/>
          <w:sz w:val="20"/>
        </w:rPr>
        <w:t xml:space="preserve">Enlace 'Limpiar campos': </w:t>
      </w:r>
      <w:r>
        <w:rPr>
          <w:rFonts w:ascii="Segoe UI" w:hAnsi="Segoe UI"/>
          <w:color w:val="0F172A"/>
          <w:sz w:val="20"/>
        </w:rPr>
        <w:t>Borra el contenido de ambos campos en caso de que desee corregir o ingresar un número diferente.</w:t>
      </w:r>
    </w:p>
    <w:p>
      <w:pPr>
        <w:pStyle w:val="ListBullet"/>
        <w:spacing w:before="0" w:after="60" w:line="276" w:lineRule="auto"/>
      </w:pPr>
      <w:r>
        <w:rPr>
          <w:rFonts w:ascii="Segoe UI" w:hAnsi="Segoe UI"/>
          <w:b/>
          <w:color w:val="0F172A"/>
          <w:sz w:val="20"/>
        </w:rPr>
        <w:t xml:space="preserve">Insignia 'Consulta segura': </w:t>
      </w:r>
      <w:r>
        <w:rPr>
          <w:rFonts w:ascii="Segoe UI" w:hAnsi="Segoe UI"/>
          <w:color w:val="0F172A"/>
          <w:sz w:val="20"/>
        </w:rPr>
        <w:t>Garantiza que la conexión se realiza bajo protocolos cifrados SSL/TLS protegiendo su información.</w:t>
      </w:r>
    </w:p>
    <w:p>
      <w:pPr>
        <w:keepNext/>
        <w:spacing w:before="480" w:after="160"/>
      </w:pPr>
      <w:r>
        <w:rPr>
          <w:rFonts w:ascii="Segoe UI" w:hAnsi="Segoe UI"/>
          <w:b/>
          <w:color w:val="1E3A8A"/>
          <w:sz w:val="40"/>
        </w:rPr>
        <w:t>Capítulo 4: Diagnóstico y Resolución de Errores de Consulta</w:t>
      </w:r>
    </w:p>
    <w:p>
      <w:pPr>
        <w:spacing w:before="0" w:after="120" w:line="276" w:lineRule="auto"/>
      </w:pPr>
      <w:r>
        <w:rPr>
          <w:rFonts w:ascii="Segoe UI" w:hAnsi="Segoe UI"/>
          <w:i w:val="0"/>
          <w:color w:val="0F172A"/>
          <w:sz w:val="20"/>
        </w:rPr>
        <w:t>Si por alguna razón el sistema no encuentra coincidencia entre la orden y el código ingresado, se desplegará una alerta preventiva de color rojo impidiendo el acceso a información no autorizada:</w:t>
      </w:r>
    </w:p>
    <w:p>
      <w:pPr>
        <w:keepNext/>
        <w:spacing w:before="160" w:after="6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3_validacion_error_consulta.png"/>
                    <pic:cNvPicPr/>
                  </pic:nvPicPr>
                  <pic:blipFill>
                    <a:blip r:embed="rId13"/>
                    <a:stretch>
                      <a:fillRect/>
                    </a:stretch>
                  </pic:blipFill>
                  <pic:spPr>
                    <a:xfrm>
                      <a:off x="0" y="0"/>
                      <a:ext cx="5120640" cy="3200400"/>
                    </a:xfrm>
                    <a:prstGeom prst="rect"/>
                  </pic:spPr>
                </pic:pic>
              </a:graphicData>
            </a:graphic>
          </wp:inline>
        </w:drawing>
      </w:r>
    </w:p>
    <w:p>
      <w:pPr>
        <w:spacing w:before="0" w:after="200"/>
        <w:jc w:val="center"/>
      </w:pPr>
      <w:r>
        <w:rPr>
          <w:rFonts w:ascii="Segoe UI" w:hAnsi="Segoe UI"/>
          <w:i/>
          <w:color w:val="475569"/>
          <w:sz w:val="18"/>
        </w:rPr>
        <w:t>Figura 4: Alerta de seguridad por discrepancia en el código de seguimiento o número de orden.</w:t>
      </w:r>
    </w:p>
    <w:p>
      <w:pPr>
        <w:keepNext/>
        <w:spacing w:before="280" w:after="120"/>
      </w:pPr>
      <w:r>
        <w:rPr>
          <w:rFonts w:ascii="Segoe UI" w:hAnsi="Segoe UI"/>
          <w:b/>
          <w:color w:val="2563EB"/>
          <w:sz w:val="26"/>
        </w:rPr>
        <w:t>4.1. Motivos Más Comunes del Error</w:t>
      </w:r>
    </w:p>
    <w:p>
      <w:pPr>
        <w:pStyle w:val="ListBullet"/>
        <w:spacing w:before="0" w:after="60" w:line="276" w:lineRule="auto"/>
      </w:pPr>
      <w:r>
        <w:rPr>
          <w:rFonts w:ascii="Segoe UI" w:hAnsi="Segoe UI"/>
          <w:b/>
          <w:color w:val="0F172A"/>
          <w:sz w:val="20"/>
        </w:rPr>
        <w:t xml:space="preserve">A. Error tipográfico al digitar: </w:t>
      </w:r>
      <w:r>
        <w:rPr>
          <w:rFonts w:ascii="Segoe UI" w:hAnsi="Segoe UI"/>
          <w:color w:val="0F172A"/>
          <w:sz w:val="20"/>
        </w:rPr>
        <w:t xml:space="preserve"> Confundir números con letras similares (ejemplo: el número cero '0' con la letra 'O', o el número uno '1' con la 'I').</w:t>
      </w:r>
    </w:p>
    <w:p>
      <w:pPr>
        <w:pStyle w:val="ListBullet"/>
        <w:spacing w:before="0" w:after="60" w:line="276" w:lineRule="auto"/>
      </w:pPr>
      <w:r>
        <w:rPr>
          <w:rFonts w:ascii="Segoe UI" w:hAnsi="Segoe UI"/>
          <w:b/>
          <w:color w:val="0F172A"/>
          <w:sz w:val="20"/>
        </w:rPr>
        <w:t xml:space="preserve">B. Formato incompleto: </w:t>
      </w:r>
      <w:r>
        <w:rPr>
          <w:rFonts w:ascii="Segoe UI" w:hAnsi="Segoe UI"/>
          <w:color w:val="0F172A"/>
          <w:sz w:val="20"/>
        </w:rPr>
        <w:t xml:space="preserve"> Omitir el prefijo obligatorio 'MTR-' o los guiones intermedios.</w:t>
      </w:r>
    </w:p>
    <w:p>
      <w:pPr>
        <w:pStyle w:val="ListBullet"/>
        <w:spacing w:before="0" w:after="60" w:line="276" w:lineRule="auto"/>
      </w:pPr>
      <w:r>
        <w:rPr>
          <w:rFonts w:ascii="Segoe UI" w:hAnsi="Segoe UI"/>
          <w:b/>
          <w:color w:val="0F172A"/>
          <w:sz w:val="20"/>
        </w:rPr>
        <w:t xml:space="preserve">C. Espacios invisibles: </w:t>
      </w:r>
      <w:r>
        <w:rPr>
          <w:rFonts w:ascii="Segoe UI" w:hAnsi="Segoe UI"/>
          <w:color w:val="0F172A"/>
          <w:sz w:val="20"/>
        </w:rPr>
        <w:t xml:space="preserve"> Espacios en blanco involuntarios al inicio o al final del texto al copiar y pegar.</w:t>
      </w:r>
    </w:p>
    <w:p>
      <w:pPr>
        <w:pStyle w:val="ListBullet"/>
        <w:spacing w:before="0" w:after="60" w:line="276" w:lineRule="auto"/>
      </w:pPr>
      <w:r>
        <w:rPr>
          <w:rFonts w:ascii="Segoe UI" w:hAnsi="Segoe UI"/>
          <w:b/>
          <w:color w:val="0F172A"/>
          <w:sz w:val="20"/>
        </w:rPr>
        <w:t xml:space="preserve">D. Orden pendiente de alta: </w:t>
      </w:r>
      <w:r>
        <w:rPr>
          <w:rFonts w:ascii="Segoe UI" w:hAnsi="Segoe UI"/>
          <w:color w:val="0F172A"/>
          <w:sz w:val="20"/>
        </w:rPr>
        <w:t xml:space="preserve"> El trabajo fue recién ingresado hace pocos minutos y aún se encuentra en cola de sincronización en recepción.</w:t>
      </w: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Pr>
          <w:p>
            <w:pPr>
              <w:spacing w:before="80" w:after="40"/>
            </w:pPr>
            <w:r>
              <w:rPr>
                <w:rFonts w:ascii="Segoe UI" w:hAnsi="Segoe UI"/>
                <w:b/>
                <w:color w:val="1E40AF"/>
                <w:sz w:val="20"/>
              </w:rPr>
              <w:t xml:space="preserve">[SOPORTE AL CLIENTE] </w:t>
            </w:r>
            <w:r>
              <w:rPr>
                <w:rFonts w:ascii="Segoe UI" w:hAnsi="Segoe UI"/>
                <w:color w:val="0F172A"/>
                <w:sz w:val="19"/>
              </w:rPr>
              <w:t>Si tras verificar minuciosamente su comprobante persiste el error, comuníquese con el taller al número de teléfono indicado al pie de página proporcionando su nombre y cédula para que recepción le reenvíe su código correcto.</w:t>
            </w:r>
          </w:p>
        </w:tc>
      </w:tr>
    </w:tbl>
    <w:p>
      <w:pPr>
        <w:spacing w:after="80"/>
      </w:pPr>
    </w:p>
    <w:p>
      <w:pPr>
        <w:keepNext/>
        <w:spacing w:before="480" w:after="160"/>
      </w:pPr>
      <w:r>
        <w:rPr>
          <w:rFonts w:ascii="Segoe UI" w:hAnsi="Segoe UI"/>
          <w:b/>
          <w:color w:val="1E3A8A"/>
          <w:sz w:val="40"/>
        </w:rPr>
        <w:t>Capítulo 5: Vista General de la Orden de Trabajo Consultada</w:t>
      </w:r>
    </w:p>
    <w:p>
      <w:pPr>
        <w:spacing w:before="0" w:after="120" w:line="276" w:lineRule="auto"/>
      </w:pPr>
      <w:r>
        <w:rPr>
          <w:rFonts w:ascii="Segoe UI" w:hAnsi="Segoe UI"/>
          <w:i w:val="0"/>
          <w:color w:val="0F172A"/>
          <w:sz w:val="20"/>
        </w:rPr>
        <w:t>Una vez validada la orden con éxito, el sistema despliega el cuadro de mando integral de la reparación. Esta pantalla se estructura de forma modular para que la lectura sea inmediata:</w:t>
      </w:r>
    </w:p>
    <w:p>
      <w:pPr>
        <w:keepNext/>
        <w:spacing w:before="160" w:after="60"/>
        <w:jc w:val="center"/>
      </w:pPr>
      <w:r>
        <w:drawing>
          <wp:inline xmlns:a="http://schemas.openxmlformats.org/drawingml/2006/main" xmlns:pic="http://schemas.openxmlformats.org/drawingml/2006/picture">
            <wp:extent cx="5669280" cy="4751959"/>
            <wp:docPr id="5" name="Picture 5"/>
            <wp:cNvGraphicFramePr>
              <a:graphicFrameLocks noChangeAspect="1"/>
            </wp:cNvGraphicFramePr>
            <a:graphic>
              <a:graphicData uri="http://schemas.openxmlformats.org/drawingml/2006/picture">
                <pic:pic>
                  <pic:nvPicPr>
                    <pic:cNvPr id="0" name="04_pantalla_completa_seguimiento.png"/>
                    <pic:cNvPicPr/>
                  </pic:nvPicPr>
                  <pic:blipFill>
                    <a:blip r:embed="rId14"/>
                    <a:stretch>
                      <a:fillRect/>
                    </a:stretch>
                  </pic:blipFill>
                  <pic:spPr>
                    <a:xfrm>
                      <a:off x="0" y="0"/>
                      <a:ext cx="5669280" cy="4751959"/>
                    </a:xfrm>
                    <a:prstGeom prst="rect"/>
                  </pic:spPr>
                </pic:pic>
              </a:graphicData>
            </a:graphic>
          </wp:inline>
        </w:drawing>
      </w:r>
    </w:p>
    <w:p>
      <w:pPr>
        <w:spacing w:before="0" w:after="200"/>
        <w:jc w:val="center"/>
      </w:pPr>
      <w:r>
        <w:rPr>
          <w:rFonts w:ascii="Segoe UI" w:hAnsi="Segoe UI"/>
          <w:i/>
          <w:color w:val="475569"/>
          <w:sz w:val="18"/>
        </w:rPr>
        <w:t>Figura 5: Vista general completa del estado y trazabilidad técnica de la orden de trabajo.</w:t>
      </w:r>
    </w:p>
    <w:p>
      <w:pPr>
        <w:keepNext/>
        <w:spacing w:before="280" w:after="120"/>
      </w:pPr>
      <w:r>
        <w:rPr>
          <w:rFonts w:ascii="Segoe UI" w:hAnsi="Segoe UI"/>
          <w:b/>
          <w:color w:val="2563EB"/>
          <w:sz w:val="26"/>
        </w:rPr>
        <w:t>5.1. Encabezado de la Ficha Técnica</w:t>
      </w:r>
    </w:p>
    <w:p>
      <w:pPr>
        <w:spacing w:before="0" w:after="120" w:line="276" w:lineRule="auto"/>
      </w:pPr>
      <w:r>
        <w:rPr>
          <w:rFonts w:ascii="Segoe UI" w:hAnsi="Segoe UI"/>
          <w:i w:val="0"/>
          <w:color w:val="0F172A"/>
          <w:sz w:val="20"/>
        </w:rPr>
        <w:t>En la parte superior se identifican los atributos clave del servicio contratado:</w:t>
      </w:r>
    </w:p>
    <w:p>
      <w:pPr>
        <w:pStyle w:val="ListBullet"/>
        <w:spacing w:before="0" w:after="60" w:line="276" w:lineRule="auto"/>
      </w:pPr>
      <w:r>
        <w:rPr>
          <w:rFonts w:ascii="Segoe UI" w:hAnsi="Segoe UI"/>
          <w:b/>
          <w:color w:val="0F172A"/>
          <w:sz w:val="20"/>
        </w:rPr>
        <w:t xml:space="preserve">Código de Orden (Ej. OT-2026-00003): </w:t>
      </w:r>
      <w:r>
        <w:rPr>
          <w:rFonts w:ascii="Segoe UI" w:hAnsi="Segoe UI"/>
          <w:color w:val="0F172A"/>
          <w:sz w:val="20"/>
        </w:rPr>
        <w:t xml:space="preserve"> Identificador oficial de trazabilidad interna en taller.</w:t>
      </w:r>
    </w:p>
    <w:p>
      <w:pPr>
        <w:pStyle w:val="ListBullet"/>
        <w:spacing w:before="0" w:after="60" w:line="276" w:lineRule="auto"/>
      </w:pPr>
      <w:r>
        <w:rPr>
          <w:rFonts w:ascii="Segoe UI" w:hAnsi="Segoe UI"/>
          <w:b/>
          <w:color w:val="0F172A"/>
          <w:sz w:val="20"/>
        </w:rPr>
        <w:t xml:space="preserve">Resumen del Motor y Servicio: </w:t>
      </w:r>
      <w:r>
        <w:rPr>
          <w:rFonts w:ascii="Segoe UI" w:hAnsi="Segoe UI"/>
          <w:color w:val="0F172A"/>
          <w:sz w:val="20"/>
        </w:rPr>
        <w:t xml:space="preserve"> Identificación clara del vehículo o motor ingresado y el tipo de trabajo acordado (ejemplo: Diagnóstico, Rectificación Completa, Cambio de Empaques).</w:t>
      </w:r>
    </w:p>
    <w:p>
      <w:pPr>
        <w:pStyle w:val="ListBullet"/>
        <w:spacing w:before="0" w:after="60" w:line="276" w:lineRule="auto"/>
      </w:pPr>
      <w:r>
        <w:rPr>
          <w:rFonts w:ascii="Segoe UI" w:hAnsi="Segoe UI"/>
          <w:b/>
          <w:color w:val="0F172A"/>
          <w:sz w:val="20"/>
        </w:rPr>
        <w:t xml:space="preserve">Insignia de Estado Operativo: </w:t>
      </w:r>
      <w:r>
        <w:rPr>
          <w:rFonts w:ascii="Segoe UI" w:hAnsi="Segoe UI"/>
          <w:color w:val="0F172A"/>
          <w:sz w:val="20"/>
        </w:rPr>
        <w:t xml:space="preserve"> Etiqueta visual con código de color que resume el estado global.</w:t>
      </w:r>
    </w:p>
    <w:p>
      <w:pPr>
        <w:keepNext/>
        <w:spacing w:before="280" w:after="120"/>
      </w:pPr>
      <w:r>
        <w:rPr>
          <w:rFonts w:ascii="Segoe UI" w:hAnsi="Segoe UI"/>
          <w:b/>
          <w:color w:val="2563EB"/>
          <w:sz w:val="26"/>
        </w:rPr>
        <w:t>5.2. Estados del Servicio y sus Significados</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rFonts w:ascii="Segoe UI" w:hAnsi="Segoe UI"/>
                <w:b/>
                <w:color w:val="FFFFFF"/>
                <w:sz w:val="19"/>
              </w:rPr>
              <w:t>Estado Visual</w:t>
            </w:r>
          </w:p>
        </w:tc>
        <w:tc>
          <w:tcPr>
            <w:tcW w:type="dxa" w:w="3120"/>
            <w:shd w:fill="1E3A8A"/>
          </w:tcPr>
          <w:p>
            <w:r>
              <w:rPr>
                <w:rFonts w:ascii="Segoe UI" w:hAnsi="Segoe UI"/>
                <w:b/>
                <w:color w:val="FFFFFF"/>
                <w:sz w:val="19"/>
              </w:rPr>
              <w:t>Color Distintivo</w:t>
            </w:r>
          </w:p>
        </w:tc>
        <w:tc>
          <w:tcPr>
            <w:tcW w:type="dxa" w:w="3120"/>
            <w:shd w:fill="1E3A8A"/>
          </w:tcPr>
          <w:p>
            <w:r>
              <w:rPr>
                <w:rFonts w:ascii="Segoe UI" w:hAnsi="Segoe UI"/>
                <w:b/>
                <w:color w:val="FFFFFF"/>
                <w:sz w:val="19"/>
              </w:rPr>
              <w:t>Significado Operativo para el Cliente</w:t>
            </w:r>
          </w:p>
        </w:tc>
      </w:tr>
      <w:tr>
        <w:tc>
          <w:tcPr>
            <w:tcW w:type="dxa" w:w="2592"/>
          </w:tcPr>
          <w:p>
            <w:pPr>
              <w:spacing w:before="40" w:after="40"/>
            </w:pPr>
            <w:r>
              <w:rPr>
                <w:rFonts w:ascii="Segoe UI" w:hAnsi="Segoe UI"/>
                <w:color w:val="0F172A"/>
                <w:sz w:val="18"/>
              </w:rPr>
              <w:t>Pendiente de iniciar</w:t>
            </w:r>
          </w:p>
        </w:tc>
        <w:tc>
          <w:tcPr>
            <w:tcW w:type="dxa" w:w="2160"/>
          </w:tcPr>
          <w:p>
            <w:pPr>
              <w:spacing w:before="40" w:after="40"/>
            </w:pPr>
            <w:r>
              <w:rPr>
                <w:rFonts w:ascii="Segoe UI" w:hAnsi="Segoe UI"/>
                <w:color w:val="0F172A"/>
                <w:sz w:val="18"/>
              </w:rPr>
              <w:t>Amarillo / Ámbar</w:t>
            </w:r>
          </w:p>
        </w:tc>
        <w:tc>
          <w:tcPr>
            <w:tcW w:type="dxa" w:w="4608"/>
          </w:tcPr>
          <w:p>
            <w:pPr>
              <w:spacing w:before="40" w:after="40"/>
            </w:pPr>
            <w:r>
              <w:rPr>
                <w:rFonts w:ascii="Segoe UI" w:hAnsi="Segoe UI"/>
                <w:color w:val="0F172A"/>
                <w:sz w:val="18"/>
              </w:rPr>
              <w:t>El motor ha sido recibido físicamente en bodega y está programado en cola de asignación técnica.</w:t>
            </w:r>
          </w:p>
        </w:tc>
      </w:tr>
      <w:tr>
        <w:tc>
          <w:tcPr>
            <w:tcW w:type="dxa" w:w="2592"/>
            <w:shd w:fill="F8FAFC"/>
          </w:tcPr>
          <w:p>
            <w:pPr>
              <w:spacing w:before="40" w:after="40"/>
            </w:pPr>
            <w:r>
              <w:rPr>
                <w:rFonts w:ascii="Segoe UI" w:hAnsi="Segoe UI"/>
                <w:color w:val="0F172A"/>
                <w:sz w:val="18"/>
              </w:rPr>
              <w:t>En proceso de taller</w:t>
            </w:r>
          </w:p>
        </w:tc>
        <w:tc>
          <w:tcPr>
            <w:tcW w:type="dxa" w:w="2160"/>
            <w:shd w:fill="F8FAFC"/>
          </w:tcPr>
          <w:p>
            <w:pPr>
              <w:spacing w:before="40" w:after="40"/>
            </w:pPr>
            <w:r>
              <w:rPr>
                <w:rFonts w:ascii="Segoe UI" w:hAnsi="Segoe UI"/>
                <w:color w:val="0F172A"/>
                <w:sz w:val="18"/>
              </w:rPr>
              <w:t>Azul Institucional</w:t>
            </w:r>
          </w:p>
        </w:tc>
        <w:tc>
          <w:tcPr>
            <w:tcW w:type="dxa" w:w="4608"/>
            <w:shd w:fill="F8FAFC"/>
          </w:tcPr>
          <w:p>
            <w:pPr>
              <w:spacing w:before="40" w:after="40"/>
            </w:pPr>
            <w:r>
              <w:rPr>
                <w:rFonts w:ascii="Segoe UI" w:hAnsi="Segoe UI"/>
                <w:color w:val="0F172A"/>
                <w:sz w:val="18"/>
              </w:rPr>
              <w:t>Los mecánicos y rectificadores están ejecutando activamente desarmes, mediciones, rectificaciones o ensambles.</w:t>
            </w:r>
          </w:p>
        </w:tc>
      </w:tr>
      <w:tr>
        <w:tc>
          <w:tcPr>
            <w:tcW w:type="dxa" w:w="2592"/>
          </w:tcPr>
          <w:p>
            <w:pPr>
              <w:spacing w:before="40" w:after="40"/>
            </w:pPr>
            <w:r>
              <w:rPr>
                <w:rFonts w:ascii="Segoe UI" w:hAnsi="Segoe UI"/>
                <w:color w:val="0F172A"/>
                <w:sz w:val="18"/>
              </w:rPr>
              <w:t>Reparación finalizada</w:t>
            </w:r>
          </w:p>
        </w:tc>
        <w:tc>
          <w:tcPr>
            <w:tcW w:type="dxa" w:w="2160"/>
          </w:tcPr>
          <w:p>
            <w:pPr>
              <w:spacing w:before="40" w:after="40"/>
            </w:pPr>
            <w:r>
              <w:rPr>
                <w:rFonts w:ascii="Segoe UI" w:hAnsi="Segoe UI"/>
                <w:color w:val="0F172A"/>
                <w:sz w:val="18"/>
              </w:rPr>
              <w:t>Verde Esmeralda</w:t>
            </w:r>
          </w:p>
        </w:tc>
        <w:tc>
          <w:tcPr>
            <w:tcW w:type="dxa" w:w="4608"/>
          </w:tcPr>
          <w:p>
            <w:pPr>
              <w:spacing w:before="40" w:after="40"/>
            </w:pPr>
            <w:r>
              <w:rPr>
                <w:rFonts w:ascii="Segoe UI" w:hAnsi="Segoe UI"/>
                <w:color w:val="0F172A"/>
                <w:sz w:val="18"/>
              </w:rPr>
              <w:t>El trabajo mecánico ha concluido exitosamente, pasó control de calidad y está listo para retiro o facturación.</w:t>
            </w:r>
          </w:p>
        </w:tc>
      </w:tr>
      <w:tr>
        <w:tc>
          <w:tcPr>
            <w:tcW w:type="dxa" w:w="2592"/>
            <w:shd w:fill="F8FAFC"/>
          </w:tcPr>
          <w:p>
            <w:pPr>
              <w:spacing w:before="40" w:after="40"/>
            </w:pPr>
            <w:r>
              <w:rPr>
                <w:rFonts w:ascii="Segoe UI" w:hAnsi="Segoe UI"/>
                <w:color w:val="0F172A"/>
                <w:sz w:val="18"/>
              </w:rPr>
              <w:t>Orden cancelada</w:t>
            </w:r>
          </w:p>
        </w:tc>
        <w:tc>
          <w:tcPr>
            <w:tcW w:type="dxa" w:w="2160"/>
            <w:shd w:fill="F8FAFC"/>
          </w:tcPr>
          <w:p>
            <w:pPr>
              <w:spacing w:before="40" w:after="40"/>
            </w:pPr>
            <w:r>
              <w:rPr>
                <w:rFonts w:ascii="Segoe UI" w:hAnsi="Segoe UI"/>
                <w:color w:val="0F172A"/>
                <w:sz w:val="18"/>
              </w:rPr>
              <w:t>Gris Neutro</w:t>
            </w:r>
          </w:p>
        </w:tc>
        <w:tc>
          <w:tcPr>
            <w:tcW w:type="dxa" w:w="4608"/>
            <w:shd w:fill="F8FAFC"/>
          </w:tcPr>
          <w:p>
            <w:pPr>
              <w:spacing w:before="40" w:after="40"/>
            </w:pPr>
            <w:r>
              <w:rPr>
                <w:rFonts w:ascii="Segoe UI" w:hAnsi="Segoe UI"/>
                <w:color w:val="0F172A"/>
                <w:sz w:val="18"/>
              </w:rPr>
              <w:t>El servicio fue desestimado de común acuerdo con el cliente o por inviabilidad técnica del bloque de motor.</w:t>
            </w:r>
          </w:p>
        </w:tc>
      </w:tr>
    </w:tbl>
    <w:p>
      <w:pPr>
        <w:spacing w:after="120"/>
      </w:pPr>
    </w:p>
    <w:p>
      <w:pPr>
        <w:keepNext/>
        <w:spacing w:before="480" w:after="160"/>
      </w:pPr>
      <w:r>
        <w:rPr>
          <w:rFonts w:ascii="Segoe UI" w:hAnsi="Segoe UI"/>
          <w:b/>
          <w:color w:val="1E3A8A"/>
          <w:sz w:val="40"/>
        </w:rPr>
        <w:t>Capítulo 6: Interpretación del Avance Técnico y Barra de Progreso</w:t>
      </w:r>
    </w:p>
    <w:p>
      <w:pPr>
        <w:spacing w:before="0" w:after="120" w:line="276" w:lineRule="auto"/>
      </w:pPr>
      <w:r>
        <w:rPr>
          <w:rFonts w:ascii="Segoe UI" w:hAnsi="Segoe UI"/>
          <w:i w:val="0"/>
          <w:color w:val="0F172A"/>
          <w:sz w:val="20"/>
        </w:rPr>
        <w:t>La sección central izquierda contiene el módulo más importante para el seguimiento: el indicador de avance porcentual en tiempo real:</w:t>
      </w:r>
    </w:p>
    <w:p>
      <w:pPr>
        <w:keepNext/>
        <w:spacing w:before="160" w:after="60"/>
        <w:jc w:val="center"/>
      </w:pPr>
      <w:r>
        <w:drawing>
          <wp:inline xmlns:a="http://schemas.openxmlformats.org/drawingml/2006/main" xmlns:pic="http://schemas.openxmlformats.org/drawingml/2006/picture">
            <wp:extent cx="5303520" cy="3778758"/>
            <wp:docPr id="6" name="Picture 6"/>
            <wp:cNvGraphicFramePr>
              <a:graphicFrameLocks noChangeAspect="1"/>
            </wp:cNvGraphicFramePr>
            <a:graphic>
              <a:graphicData uri="http://schemas.openxmlformats.org/drawingml/2006/picture">
                <pic:pic>
                  <pic:nvPicPr>
                    <pic:cNvPr id="0" name="05_avance_y_estado_tecnico.png"/>
                    <pic:cNvPicPr/>
                  </pic:nvPicPr>
                  <pic:blipFill>
                    <a:blip r:embed="rId15"/>
                    <a:stretch>
                      <a:fillRect/>
                    </a:stretch>
                  </pic:blipFill>
                  <pic:spPr>
                    <a:xfrm>
                      <a:off x="0" y="0"/>
                      <a:ext cx="5303520" cy="3778758"/>
                    </a:xfrm>
                    <a:prstGeom prst="rect"/>
                  </pic:spPr>
                </pic:pic>
              </a:graphicData>
            </a:graphic>
          </wp:inline>
        </w:drawing>
      </w:r>
    </w:p>
    <w:p>
      <w:pPr>
        <w:spacing w:before="0" w:after="200"/>
        <w:jc w:val="center"/>
      </w:pPr>
      <w:r>
        <w:rPr>
          <w:rFonts w:ascii="Segoe UI" w:hAnsi="Segoe UI"/>
          <w:i/>
          <w:color w:val="475569"/>
          <w:sz w:val="18"/>
        </w:rPr>
        <w:t>Figura 6: Indicador de avance porcentual (40%), barra dinámica y nota técnica autorizada.</w:t>
      </w:r>
    </w:p>
    <w:p>
      <w:pPr>
        <w:keepNext/>
        <w:spacing w:before="280" w:after="120"/>
      </w:pPr>
      <w:r>
        <w:rPr>
          <w:rFonts w:ascii="Segoe UI" w:hAnsi="Segoe UI"/>
          <w:b/>
          <w:color w:val="2563EB"/>
          <w:sz w:val="26"/>
        </w:rPr>
        <w:t>6.1. ¿Cómo se Calcula el Porcentaje de Avance?</w:t>
      </w:r>
    </w:p>
    <w:p>
      <w:pPr>
        <w:spacing w:before="0" w:after="120" w:line="276" w:lineRule="auto"/>
      </w:pPr>
      <w:r>
        <w:rPr>
          <w:rFonts w:ascii="Segoe UI" w:hAnsi="Segoe UI"/>
          <w:i w:val="0"/>
          <w:color w:val="0F172A"/>
          <w:sz w:val="20"/>
        </w:rPr>
        <w:t>A diferencia de sistemas convencionales con porcentajes ficticios basados únicamente en días transcurridos, en este sistema el porcentaje es ACTUALIZADO DIRECTAMENTE POR EL MECÁNICO según las etapas técnicas completadas:</w:t>
      </w:r>
    </w:p>
    <w:p>
      <w:pPr>
        <w:pStyle w:val="ListBullet"/>
        <w:spacing w:before="0" w:after="60" w:line="276" w:lineRule="auto"/>
      </w:pPr>
      <w:r>
        <w:rPr>
          <w:rFonts w:ascii="Segoe UI" w:hAnsi="Segoe UI"/>
          <w:b/>
          <w:color w:val="0F172A"/>
          <w:sz w:val="20"/>
        </w:rPr>
        <w:t xml:space="preserve">Etapa 0% - 25%: </w:t>
      </w:r>
      <w:r>
        <w:rPr>
          <w:rFonts w:ascii="Segoe UI" w:hAnsi="Segoe UI"/>
          <w:color w:val="0F172A"/>
          <w:sz w:val="20"/>
        </w:rPr>
        <w:t xml:space="preserve"> Desarme inicial, lavado por inmersión y prueba hidráulica de fisuras.</w:t>
      </w:r>
    </w:p>
    <w:p>
      <w:pPr>
        <w:pStyle w:val="ListBullet"/>
        <w:spacing w:before="0" w:after="60" w:line="276" w:lineRule="auto"/>
      </w:pPr>
      <w:r>
        <w:rPr>
          <w:rFonts w:ascii="Segoe UI" w:hAnsi="Segoe UI"/>
          <w:b/>
          <w:color w:val="0F172A"/>
          <w:sz w:val="20"/>
        </w:rPr>
        <w:t xml:space="preserve">Etapa 25% - 60%: </w:t>
      </w:r>
      <w:r>
        <w:rPr>
          <w:rFonts w:ascii="Segoe UI" w:hAnsi="Segoe UI"/>
          <w:color w:val="0F172A"/>
          <w:sz w:val="20"/>
        </w:rPr>
        <w:t xml:space="preserve"> Rectificación de cigüeñal, barrenado de cilindros, cepillado de culata y ajuste de guías de válvula.</w:t>
      </w:r>
    </w:p>
    <w:p>
      <w:pPr>
        <w:pStyle w:val="ListBullet"/>
        <w:spacing w:before="0" w:after="60" w:line="276" w:lineRule="auto"/>
      </w:pPr>
      <w:r>
        <w:rPr>
          <w:rFonts w:ascii="Segoe UI" w:hAnsi="Segoe UI"/>
          <w:b/>
          <w:color w:val="0F172A"/>
          <w:sz w:val="20"/>
        </w:rPr>
        <w:t xml:space="preserve">Etapa 60% - 90%: </w:t>
      </w:r>
      <w:r>
        <w:rPr>
          <w:rFonts w:ascii="Segoe UI" w:hAnsi="Segoe UI"/>
          <w:color w:val="0F172A"/>
          <w:sz w:val="20"/>
        </w:rPr>
        <w:t xml:space="preserve"> Montaje de pistones, torques de biela y bancada, calibración de válvulas y sincronización de tiempo.</w:t>
      </w:r>
    </w:p>
    <w:p>
      <w:pPr>
        <w:pStyle w:val="ListBullet"/>
        <w:spacing w:before="0" w:after="60" w:line="276" w:lineRule="auto"/>
      </w:pPr>
      <w:r>
        <w:rPr>
          <w:rFonts w:ascii="Segoe UI" w:hAnsi="Segoe UI"/>
          <w:b/>
          <w:color w:val="0F172A"/>
          <w:sz w:val="20"/>
        </w:rPr>
        <w:t xml:space="preserve">Etapa 90% - 100%: </w:t>
      </w:r>
      <w:r>
        <w:rPr>
          <w:rFonts w:ascii="Segoe UI" w:hAnsi="Segoe UI"/>
          <w:color w:val="0F172A"/>
          <w:sz w:val="20"/>
        </w:rPr>
        <w:t xml:space="preserve"> Pruebas finales de compresión, torque de culata, sellado hermético y limpieza de entrega.</w:t>
      </w:r>
    </w:p>
    <w:p>
      <w:pPr>
        <w:keepNext/>
        <w:spacing w:before="280" w:after="120"/>
      </w:pPr>
      <w:r>
        <w:rPr>
          <w:rFonts w:ascii="Segoe UI" w:hAnsi="Segoe UI"/>
          <w:b/>
          <w:color w:val="2563EB"/>
          <w:sz w:val="26"/>
        </w:rPr>
        <w:t>6.2. Notas y Observaciones Técnicas</w:t>
      </w:r>
    </w:p>
    <w:p>
      <w:pPr>
        <w:spacing w:before="0" w:after="120" w:line="276" w:lineRule="auto"/>
      </w:pPr>
      <w:r>
        <w:rPr>
          <w:rFonts w:ascii="Segoe UI" w:hAnsi="Segoe UI"/>
          <w:i w:val="0"/>
          <w:color w:val="0F172A"/>
          <w:sz w:val="20"/>
        </w:rPr>
        <w:t>Debajo de la barra se muestra la observación técnica emitida por el taller. Si no hubiese notas especiales, se indicará el mensaje estándar: 'La orden se encuentra en seguimiento técnico. Te notificaremos cualquier actualización relevante'.</w:t>
      </w:r>
    </w:p>
    <w:p>
      <w:pPr>
        <w:keepNext/>
        <w:spacing w:before="480" w:after="160"/>
      </w:pPr>
      <w:r>
        <w:rPr>
          <w:rFonts w:ascii="Segoe UI" w:hAnsi="Segoe UI"/>
          <w:b/>
          <w:color w:val="1E3A8A"/>
          <w:sz w:val="40"/>
        </w:rPr>
        <w:t>Capítulo 7: Cronología e Historial de Hitos Técnicos (Timeline)</w:t>
      </w:r>
    </w:p>
    <w:p>
      <w:pPr>
        <w:spacing w:before="0" w:after="120" w:line="276" w:lineRule="auto"/>
      </w:pPr>
      <w:r>
        <w:rPr>
          <w:rFonts w:ascii="Segoe UI" w:hAnsi="Segoe UI"/>
          <w:i w:val="0"/>
          <w:color w:val="0F172A"/>
          <w:sz w:val="20"/>
        </w:rPr>
        <w:t>El portal cuenta con una línea de tiempo vertical que registra cada momento clave en la vida de la orden. Esto garantiza trazabilidad histórica inalterable:</w:t>
      </w:r>
    </w:p>
    <w:p>
      <w:pPr>
        <w:keepNext/>
        <w:spacing w:before="160" w:after="60"/>
        <w:jc w:val="center"/>
      </w:pPr>
      <w:r>
        <w:drawing>
          <wp:inline xmlns:a="http://schemas.openxmlformats.org/drawingml/2006/main" xmlns:pic="http://schemas.openxmlformats.org/drawingml/2006/picture">
            <wp:extent cx="5303520" cy="1852788"/>
            <wp:docPr id="7" name="Picture 7"/>
            <wp:cNvGraphicFramePr>
              <a:graphicFrameLocks noChangeAspect="1"/>
            </wp:cNvGraphicFramePr>
            <a:graphic>
              <a:graphicData uri="http://schemas.openxmlformats.org/drawingml/2006/picture">
                <pic:pic>
                  <pic:nvPicPr>
                    <pic:cNvPr id="0" name="06_linea_de_tiempo_hitos.png"/>
                    <pic:cNvPicPr/>
                  </pic:nvPicPr>
                  <pic:blipFill>
                    <a:blip r:embed="rId16"/>
                    <a:stretch>
                      <a:fillRect/>
                    </a:stretch>
                  </pic:blipFill>
                  <pic:spPr>
                    <a:xfrm>
                      <a:off x="0" y="0"/>
                      <a:ext cx="5303520" cy="1852788"/>
                    </a:xfrm>
                    <a:prstGeom prst="rect"/>
                  </pic:spPr>
                </pic:pic>
              </a:graphicData>
            </a:graphic>
          </wp:inline>
        </w:drawing>
      </w:r>
    </w:p>
    <w:p>
      <w:pPr>
        <w:spacing w:before="0" w:after="200"/>
        <w:jc w:val="center"/>
      </w:pPr>
      <w:r>
        <w:rPr>
          <w:rFonts w:ascii="Segoe UI" w:hAnsi="Segoe UI"/>
          <w:i/>
          <w:color w:val="475569"/>
          <w:sz w:val="18"/>
        </w:rPr>
        <w:t>Figura 7: Historial cronológico de hitos técnicos con fecha, hora exacta y porcentaje registrado.</w:t>
      </w:r>
    </w:p>
    <w:p>
      <w:pPr>
        <w:keepNext/>
        <w:spacing w:before="280" w:after="120"/>
      </w:pPr>
      <w:r>
        <w:rPr>
          <w:rFonts w:ascii="Segoe UI" w:hAnsi="Segoe UI"/>
          <w:b/>
          <w:color w:val="2563EB"/>
          <w:sz w:val="26"/>
        </w:rPr>
        <w:t>7.1. Estructura de Cada Hito en la Cronología</w:t>
      </w:r>
    </w:p>
    <w:p>
      <w:pPr>
        <w:spacing w:before="0" w:after="120" w:line="276" w:lineRule="auto"/>
      </w:pPr>
      <w:r>
        <w:rPr>
          <w:rFonts w:ascii="Segoe UI" w:hAnsi="Segoe UI"/>
          <w:i w:val="0"/>
          <w:color w:val="0F172A"/>
          <w:sz w:val="20"/>
        </w:rPr>
        <w:t>Cada hito en la lista contiene cuatro elementos informativos:</w:t>
      </w:r>
    </w:p>
    <w:p>
      <w:pPr>
        <w:pStyle w:val="ListBullet"/>
        <w:spacing w:before="0" w:after="60" w:line="276" w:lineRule="auto"/>
      </w:pPr>
      <w:r>
        <w:rPr>
          <w:rFonts w:ascii="Segoe UI" w:hAnsi="Segoe UI"/>
          <w:b/>
          <w:color w:val="0F172A"/>
          <w:sz w:val="20"/>
        </w:rPr>
        <w:t xml:space="preserve">1. Título del Hito: </w:t>
      </w:r>
      <w:r>
        <w:rPr>
          <w:rFonts w:ascii="Segoe UI" w:hAnsi="Segoe UI"/>
          <w:color w:val="0F172A"/>
          <w:sz w:val="20"/>
        </w:rPr>
        <w:t xml:space="preserve"> Indica si es un hito de recepción, inicio de taller, avance técnico o finalización.</w:t>
      </w:r>
    </w:p>
    <w:p>
      <w:pPr>
        <w:pStyle w:val="ListBullet"/>
        <w:spacing w:before="0" w:after="60" w:line="276" w:lineRule="auto"/>
      </w:pPr>
      <w:r>
        <w:rPr>
          <w:rFonts w:ascii="Segoe UI" w:hAnsi="Segoe UI"/>
          <w:b/>
          <w:color w:val="0F172A"/>
          <w:sz w:val="20"/>
        </w:rPr>
        <w:t xml:space="preserve">2. Mensaje Descriptivo: </w:t>
      </w:r>
      <w:r>
        <w:rPr>
          <w:rFonts w:ascii="Segoe UI" w:hAnsi="Segoe UI"/>
          <w:color w:val="0F172A"/>
          <w:sz w:val="20"/>
        </w:rPr>
        <w:t xml:space="preserve"> Explicación clara y accesible sobre el trabajo realizado hasta ese momento.</w:t>
      </w:r>
    </w:p>
    <w:p>
      <w:pPr>
        <w:pStyle w:val="ListBullet"/>
        <w:spacing w:before="0" w:after="60" w:line="276" w:lineRule="auto"/>
      </w:pPr>
      <w:r>
        <w:rPr>
          <w:rFonts w:ascii="Segoe UI" w:hAnsi="Segoe UI"/>
          <w:b/>
          <w:color w:val="0F172A"/>
          <w:sz w:val="20"/>
        </w:rPr>
        <w:t xml:space="preserve">3. Porcentaje Registrado: </w:t>
      </w:r>
      <w:r>
        <w:rPr>
          <w:rFonts w:ascii="Segoe UI" w:hAnsi="Segoe UI"/>
          <w:color w:val="0F172A"/>
          <w:sz w:val="20"/>
        </w:rPr>
        <w:t xml:space="preserve"> Nivel de cumplimiento alcanzado tras ese evento (ejemplo: Avance 0%, Avance 40%).</w:t>
      </w:r>
    </w:p>
    <w:p>
      <w:pPr>
        <w:pStyle w:val="ListBullet"/>
        <w:spacing w:before="0" w:after="60" w:line="276" w:lineRule="auto"/>
      </w:pPr>
      <w:r>
        <w:rPr>
          <w:rFonts w:ascii="Segoe UI" w:hAnsi="Segoe UI"/>
          <w:b/>
          <w:color w:val="0F172A"/>
          <w:sz w:val="20"/>
        </w:rPr>
        <w:t xml:space="preserve">4. Fecha y Hora Oficial: </w:t>
      </w:r>
      <w:r>
        <w:rPr>
          <w:rFonts w:ascii="Segoe UI" w:hAnsi="Segoe UI"/>
          <w:color w:val="0F172A"/>
          <w:sz w:val="20"/>
        </w:rPr>
        <w:t xml:space="preserve"> Estampa de tiempo exacta (ejemplo: '25/09/2026, 4:52 p. m.') generada por el servidor del sistema.</w:t>
      </w:r>
    </w:p>
    <w:p>
      <w:pPr>
        <w:keepNext/>
        <w:spacing w:before="280" w:after="120"/>
      </w:pPr>
      <w:r>
        <w:rPr>
          <w:rFonts w:ascii="Segoe UI" w:hAnsi="Segoe UI"/>
          <w:b/>
          <w:color w:val="2563EB"/>
          <w:sz w:val="26"/>
        </w:rPr>
        <w:t>7.2. Indicador del Hito Más Reciente</w:t>
      </w:r>
    </w:p>
    <w:p>
      <w:pPr>
        <w:spacing w:before="0" w:after="120" w:line="276" w:lineRule="auto"/>
      </w:pPr>
      <w:r>
        <w:rPr>
          <w:rFonts w:ascii="Segoe UI" w:hAnsi="Segoe UI"/>
          <w:i w:val="0"/>
          <w:color w:val="0F172A"/>
          <w:sz w:val="20"/>
        </w:rPr>
        <w:t>El último hito registrado se destaca visualmente con un nodo azul brillante y un aro de pulsación, permitiendo al cliente identificar de inmediato la novedad más reciente sin tener que recorrer todo el historial.</w:t>
      </w:r>
    </w:p>
    <w:p>
      <w:pPr>
        <w:keepNext/>
        <w:spacing w:before="480" w:after="160"/>
      </w:pPr>
      <w:r>
        <w:rPr>
          <w:rFonts w:ascii="Segoe UI" w:hAnsi="Segoe UI"/>
          <w:b/>
          <w:color w:val="1E3A8A"/>
          <w:sz w:val="40"/>
        </w:rPr>
        <w:t>Capítulo 8: Ficha de Resumen, Fechas Estimadas y Canales de Soporte</w:t>
      </w:r>
    </w:p>
    <w:p>
      <w:pPr>
        <w:spacing w:before="0" w:after="120" w:line="276" w:lineRule="auto"/>
      </w:pPr>
      <w:r>
        <w:rPr>
          <w:rFonts w:ascii="Segoe UI" w:hAnsi="Segoe UI"/>
          <w:i w:val="0"/>
          <w:color w:val="0F172A"/>
          <w:sz w:val="20"/>
        </w:rPr>
        <w:t>En la columna derecha y en la sección inferior se encuentran los paneles complementarios orientados al servicio al cliente y resolución de dudas:</w:t>
      </w:r>
    </w:p>
    <w:p>
      <w:pPr>
        <w:keepNext/>
        <w:spacing w:before="160" w:after="60"/>
        <w:jc w:val="center"/>
      </w:pPr>
      <w:r>
        <w:drawing>
          <wp:inline xmlns:a="http://schemas.openxmlformats.org/drawingml/2006/main" xmlns:pic="http://schemas.openxmlformats.org/drawingml/2006/picture">
            <wp:extent cx="4389120" cy="8468420"/>
            <wp:docPr id="8" name="Picture 8"/>
            <wp:cNvGraphicFramePr>
              <a:graphicFrameLocks noChangeAspect="1"/>
            </wp:cNvGraphicFramePr>
            <a:graphic>
              <a:graphicData uri="http://schemas.openxmlformats.org/drawingml/2006/picture">
                <pic:pic>
                  <pic:nvPicPr>
                    <pic:cNvPr id="0" name="07_resumen_y_canales_contacto.png"/>
                    <pic:cNvPicPr/>
                  </pic:nvPicPr>
                  <pic:blipFill>
                    <a:blip r:embed="rId17"/>
                    <a:stretch>
                      <a:fillRect/>
                    </a:stretch>
                  </pic:blipFill>
                  <pic:spPr>
                    <a:xfrm>
                      <a:off x="0" y="0"/>
                      <a:ext cx="4389120" cy="8468420"/>
                    </a:xfrm>
                    <a:prstGeom prst="rect"/>
                  </pic:spPr>
                </pic:pic>
              </a:graphicData>
            </a:graphic>
          </wp:inline>
        </w:drawing>
      </w:r>
    </w:p>
    <w:p>
      <w:pPr>
        <w:spacing w:before="0" w:after="200"/>
        <w:jc w:val="center"/>
      </w:pPr>
      <w:r>
        <w:rPr>
          <w:rFonts w:ascii="Segoe UI" w:hAnsi="Segoe UI"/>
          <w:i/>
          <w:color w:val="475569"/>
          <w:sz w:val="18"/>
        </w:rPr>
        <w:t>Figura 8: Tarjetas laterales con Resumen de la Orden, Entrega Estimada y Botón de Contacto Directo.</w:t>
      </w:r>
    </w:p>
    <w:p>
      <w:pPr>
        <w:keepNext/>
        <w:spacing w:before="280" w:after="120"/>
      </w:pPr>
      <w:r>
        <w:rPr>
          <w:rFonts w:ascii="Segoe UI" w:hAnsi="Segoe UI"/>
          <w:b/>
          <w:color w:val="2563EB"/>
          <w:sz w:val="26"/>
        </w:rPr>
        <w:t>8.1. Tarjeta de Entrega Estimada</w:t>
      </w:r>
    </w:p>
    <w:p>
      <w:pPr>
        <w:spacing w:before="0" w:after="120" w:line="276" w:lineRule="auto"/>
      </w:pPr>
      <w:r>
        <w:rPr>
          <w:rFonts w:ascii="Segoe UI" w:hAnsi="Segoe UI"/>
          <w:i w:val="0"/>
          <w:color w:val="0F172A"/>
          <w:sz w:val="20"/>
        </w:rPr>
        <w:t>Muestra la fecha proyectada de entrega acordada en recepción. Es fundamental tener en cuenta la nota explicativa:</w:t>
      </w:r>
    </w:p>
    <w:tbl>
      <w:tblPr>
        <w:tblW w:type="auto" w:w="0"/>
        <w:jc w:val="center"/>
        <w:tblLook w:firstColumn="1" w:firstRow="1" w:lastColumn="0" w:lastRow="0" w:noHBand="0" w:noVBand="1" w:val="04A0"/>
      </w:tblPr>
      <w:tblGrid>
        <w:gridCol w:w="9360"/>
      </w:tblGrid>
      <w:tr>
        <w:tc>
          <w:tcPr>
            <w:tcW w:type="dxa" w:w="9360"/>
            <w:shd w:fill="FFFBEB"/>
            <w:tcBorders>
              <w:top w:val="none"/>
              <w:left w:val="single" w:sz="24" w:space="0" w:color="F59E0B"/>
              <w:bottom w:val="none"/>
              <w:right w:val="none"/>
            </w:tcBorders>
          </w:tcPr>
          <w:p>
            <w:pPr>
              <w:spacing w:before="80" w:after="40"/>
            </w:pPr>
            <w:r>
              <w:rPr>
                <w:rFonts w:ascii="Segoe UI" w:hAnsi="Segoe UI"/>
                <w:b/>
                <w:color w:val="B45309"/>
                <w:sz w:val="20"/>
              </w:rPr>
              <w:t xml:space="preserve">[FLEXIBILIDAD EN TIEMPOS] </w:t>
            </w:r>
            <w:r>
              <w:rPr>
                <w:rFonts w:ascii="Segoe UI" w:hAnsi="Segoe UI"/>
                <w:color w:val="0F172A"/>
                <w:sz w:val="19"/>
              </w:rPr>
              <w:t>La fecha de entrega es ESTIMADA y puede variar según la disponibilidad de repuestos especiales (por ejemplo casquetería sobremedida o pistones de importación) y los resultados de las pruebas técnicas de banco.</w:t>
            </w:r>
          </w:p>
        </w:tc>
      </w:tr>
    </w:tbl>
    <w:p>
      <w:pPr>
        <w:spacing w:after="80"/>
      </w:pPr>
    </w:p>
    <w:p>
      <w:pPr>
        <w:keepNext/>
        <w:spacing w:before="280" w:after="120"/>
      </w:pPr>
      <w:r>
        <w:rPr>
          <w:rFonts w:ascii="Segoe UI" w:hAnsi="Segoe UI"/>
          <w:b/>
          <w:color w:val="2563EB"/>
          <w:sz w:val="26"/>
        </w:rPr>
        <w:t>8.2. Tarjeta de Privacidad y Seguridad</w:t>
      </w:r>
    </w:p>
    <w:p>
      <w:pPr>
        <w:spacing w:before="0" w:after="120" w:line="276" w:lineRule="auto"/>
      </w:pPr>
      <w:r>
        <w:rPr>
          <w:rFonts w:ascii="Segoe UI" w:hAnsi="Segoe UI"/>
          <w:i w:val="0"/>
          <w:color w:val="0F172A"/>
          <w:sz w:val="20"/>
        </w:rPr>
        <w:t>Recuerda al cliente que este portal está estrictamente acotado a información técnica. Si requiere estados de cuenta, facturación electrónica o cotizaciones adicionales, debe comunicarse directamente por los canales administrativos.</w:t>
      </w:r>
    </w:p>
    <w:p>
      <w:pPr>
        <w:keepNext/>
        <w:spacing w:before="280" w:after="120"/>
      </w:pPr>
      <w:r>
        <w:rPr>
          <w:rFonts w:ascii="Segoe UI" w:hAnsi="Segoe UI"/>
          <w:b/>
          <w:color w:val="2563EB"/>
          <w:sz w:val="26"/>
        </w:rPr>
        <w:t>8.3. Botón de Enlace Telefónico Inmediato</w:t>
      </w:r>
    </w:p>
    <w:p>
      <w:pPr>
        <w:spacing w:before="0" w:after="120" w:line="276" w:lineRule="auto"/>
      </w:pPr>
      <w:r>
        <w:rPr>
          <w:rFonts w:ascii="Segoe UI" w:hAnsi="Segoe UI"/>
          <w:i w:val="0"/>
          <w:color w:val="0F172A"/>
          <w:sz w:val="20"/>
        </w:rPr>
        <w:t>El botón 'Contactar a la empresa' permite a los usuarios móviles llamar directamente a la línea oficial del taller con un solo clic, sin necesidad de anotar números en papel.</w:t>
      </w:r>
    </w:p>
    <w:p>
      <w:pPr>
        <w:keepNext/>
        <w:spacing w:before="480" w:after="160"/>
      </w:pPr>
      <w:r>
        <w:rPr>
          <w:rFonts w:ascii="Segoe UI" w:hAnsi="Segoe UI"/>
          <w:b/>
          <w:color w:val="1E3A8A"/>
          <w:sz w:val="40"/>
        </w:rPr>
        <w:t>Capítulo 9: Acciones Finales: Impresión Oficial y Nueva Consulta</w:t>
      </w:r>
    </w:p>
    <w:p>
      <w:pPr>
        <w:spacing w:before="0" w:after="120" w:line="276" w:lineRule="auto"/>
      </w:pPr>
      <w:r>
        <w:rPr>
          <w:rFonts w:ascii="Segoe UI" w:hAnsi="Segoe UI"/>
          <w:i w:val="0"/>
          <w:color w:val="0F172A"/>
          <w:sz w:val="20"/>
        </w:rPr>
        <w:t>Al finalizar la revisión, el cliente dispone de herramientas prácticas ubicadas en la barra inferior de la pantalla:</w:t>
      </w:r>
    </w:p>
    <w:p>
      <w:pPr>
        <w:keepNext/>
        <w:spacing w:before="160" w:after="60"/>
        <w:jc w:val="center"/>
      </w:pPr>
      <w:r>
        <w:drawing>
          <wp:inline xmlns:a="http://schemas.openxmlformats.org/drawingml/2006/main" xmlns:pic="http://schemas.openxmlformats.org/drawingml/2006/picture">
            <wp:extent cx="5303520" cy="327050"/>
            <wp:docPr id="9" name="Picture 9"/>
            <wp:cNvGraphicFramePr>
              <a:graphicFrameLocks noChangeAspect="1"/>
            </wp:cNvGraphicFramePr>
            <a:graphic>
              <a:graphicData uri="http://schemas.openxmlformats.org/drawingml/2006/picture">
                <pic:pic>
                  <pic:nvPicPr>
                    <pic:cNvPr id="0" name="08_acciones_impresion_nueva_consulta.png"/>
                    <pic:cNvPicPr/>
                  </pic:nvPicPr>
                  <pic:blipFill>
                    <a:blip r:embed="rId18"/>
                    <a:stretch>
                      <a:fillRect/>
                    </a:stretch>
                  </pic:blipFill>
                  <pic:spPr>
                    <a:xfrm>
                      <a:off x="0" y="0"/>
                      <a:ext cx="5303520" cy="327050"/>
                    </a:xfrm>
                    <a:prstGeom prst="rect"/>
                  </pic:spPr>
                </pic:pic>
              </a:graphicData>
            </a:graphic>
          </wp:inline>
        </w:drawing>
      </w:r>
    </w:p>
    <w:p>
      <w:pPr>
        <w:spacing w:before="0" w:after="200"/>
        <w:jc w:val="center"/>
      </w:pPr>
      <w:r>
        <w:rPr>
          <w:rFonts w:ascii="Segoe UI" w:hAnsi="Segoe UI"/>
          <w:i/>
          <w:color w:val="475569"/>
          <w:sz w:val="18"/>
        </w:rPr>
        <w:t>Figura 9: Barra de herramientas para impresión física y retorno a nueva consulta.</w:t>
      </w:r>
    </w:p>
    <w:p>
      <w:pPr>
        <w:keepNext/>
        <w:spacing w:before="280" w:after="120"/>
      </w:pPr>
      <w:r>
        <w:rPr>
          <w:rFonts w:ascii="Segoe UI" w:hAnsi="Segoe UI"/>
          <w:b/>
          <w:color w:val="2563EB"/>
          <w:sz w:val="26"/>
        </w:rPr>
        <w:t>9.1. Función de Impresión / Guardar en PDF</w:t>
      </w:r>
    </w:p>
    <w:p>
      <w:pPr>
        <w:spacing w:before="0" w:after="120" w:line="276" w:lineRule="auto"/>
      </w:pPr>
      <w:r>
        <w:rPr>
          <w:rFonts w:ascii="Segoe UI" w:hAnsi="Segoe UI"/>
          <w:i w:val="0"/>
          <w:color w:val="0F172A"/>
          <w:sz w:val="20"/>
        </w:rPr>
        <w:t>Al hacer clic en el botón 'Imprimir', el sistema activa la hoja de estilos de impresión profesional (`@media print`), la cual:</w:t>
      </w:r>
    </w:p>
    <w:p>
      <w:pPr>
        <w:pStyle w:val="ListBullet"/>
        <w:spacing w:before="0" w:after="60" w:line="276" w:lineRule="auto"/>
      </w:pPr>
      <w:r>
        <w:rPr>
          <w:rFonts w:ascii="Segoe UI" w:hAnsi="Segoe UI"/>
          <w:color w:val="0F172A"/>
          <w:sz w:val="20"/>
        </w:rPr>
        <w:t xml:space="preserve"> Oculta elementos no imprimibles como menús, fondos de color y botones de acción.</w:t>
      </w:r>
    </w:p>
    <w:p>
      <w:pPr>
        <w:pStyle w:val="ListBullet"/>
        <w:spacing w:before="0" w:after="60" w:line="276" w:lineRule="auto"/>
      </w:pPr>
      <w:r>
        <w:rPr>
          <w:rFonts w:ascii="Segoe UI" w:hAnsi="Segoe UI"/>
          <w:color w:val="0F172A"/>
          <w:sz w:val="20"/>
        </w:rPr>
        <w:t xml:space="preserve"> Optimiza los márgenes y tipografías para hojas tamaño Carta / A4.</w:t>
      </w:r>
    </w:p>
    <w:p>
      <w:pPr>
        <w:pStyle w:val="ListBullet"/>
        <w:spacing w:before="0" w:after="60" w:line="276" w:lineRule="auto"/>
      </w:pPr>
      <w:r>
        <w:rPr>
          <w:rFonts w:ascii="Segoe UI" w:hAnsi="Segoe UI"/>
          <w:color w:val="0F172A"/>
          <w:sz w:val="20"/>
        </w:rPr>
        <w:t xml:space="preserve"> Permite guardar una copia en formato PDF o imprimir en papel físico como respaldo legal o técnico de la reparación.</w:t>
      </w:r>
    </w:p>
    <w:p>
      <w:pPr>
        <w:keepNext/>
        <w:spacing w:before="280" w:after="120"/>
      </w:pPr>
      <w:r>
        <w:rPr>
          <w:rFonts w:ascii="Segoe UI" w:hAnsi="Segoe UI"/>
          <w:b/>
          <w:color w:val="2563EB"/>
          <w:sz w:val="26"/>
        </w:rPr>
        <w:t>9.2. Función 'Otra Consulta'</w:t>
      </w:r>
    </w:p>
    <w:p>
      <w:pPr>
        <w:spacing w:before="0" w:after="120" w:line="276" w:lineRule="auto"/>
      </w:pPr>
      <w:r>
        <w:rPr>
          <w:rFonts w:ascii="Segoe UI" w:hAnsi="Segoe UI"/>
          <w:i w:val="0"/>
          <w:color w:val="0F172A"/>
          <w:sz w:val="20"/>
        </w:rPr>
        <w:t>El botón 'Otra consulta' limpia la sesión de búsqueda actual y devuelve al cliente al formulario inicial. Es ideal para empresas de transporte, talleres mecánicos aliados o clientes que tienen dos o más motores ingresados simultáneamente.</w:t>
      </w:r>
    </w:p>
    <w:tbl>
      <w:tblPr>
        <w:tblW w:type="auto" w:w="0"/>
        <w:jc w:val="center"/>
        <w:tblLook w:firstColumn="1" w:firstRow="1" w:lastColumn="0" w:lastRow="0" w:noHBand="0" w:noVBand="1" w:val="04A0"/>
      </w:tblPr>
      <w:tblGrid>
        <w:gridCol w:w="9360"/>
      </w:tblGrid>
      <w:tr>
        <w:tc>
          <w:tcPr>
            <w:tcW w:type="dxa" w:w="9360"/>
            <w:shd w:fill="EEF2FF"/>
            <w:tcBorders>
              <w:top w:val="none"/>
              <w:left w:val="single" w:sz="24" w:space="0" w:color="6366F1"/>
              <w:bottom w:val="none"/>
              <w:right w:val="none"/>
            </w:tcBorders>
          </w:tcPr>
          <w:p>
            <w:pPr>
              <w:spacing w:before="80" w:after="40"/>
            </w:pPr>
            <w:r>
              <w:rPr>
                <w:rFonts w:ascii="Segoe UI" w:hAnsi="Segoe UI"/>
                <w:b/>
                <w:color w:val="4338CA"/>
                <w:sz w:val="20"/>
              </w:rPr>
              <w:t xml:space="preserve">[CONSEJO DE SEGURIDAD] </w:t>
            </w:r>
            <w:r>
              <w:rPr>
                <w:rFonts w:ascii="Segoe UI" w:hAnsi="Segoe UI"/>
                <w:color w:val="0F172A"/>
                <w:sz w:val="19"/>
              </w:rPr>
              <w:t>Si consulta su orden desde una computadora pública (cibercafé, biblioteca o equipo compartido), utilice el botón 'Otra consulta' al terminar para evitar que terceros puedan ver el número de su orden.</w:t>
            </w:r>
          </w:p>
        </w:tc>
      </w:tr>
    </w:tbl>
    <w:p>
      <w:pPr>
        <w:spacing w:after="80"/>
      </w:pPr>
    </w:p>
    <w:p>
      <w:pPr>
        <w:keepNext/>
        <w:spacing w:before="480" w:after="160"/>
      </w:pPr>
      <w:r>
        <w:rPr>
          <w:rFonts w:ascii="Segoe UI" w:hAnsi="Segoe UI"/>
          <w:b/>
          <w:color w:val="1E3A8A"/>
          <w:sz w:val="40"/>
        </w:rPr>
        <w:t>Capítulo 10: Experiencia Móvil Optimizada en Smartphones y Tablets</w:t>
      </w:r>
    </w:p>
    <w:p>
      <w:pPr>
        <w:spacing w:before="0" w:after="120" w:line="276" w:lineRule="auto"/>
      </w:pPr>
      <w:r>
        <w:rPr>
          <w:rFonts w:ascii="Segoe UI" w:hAnsi="Segoe UI"/>
          <w:i w:val="0"/>
          <w:color w:val="0F172A"/>
          <w:sz w:val="20"/>
        </w:rPr>
        <w:t>El portal fue diseñado bajo la metodología 'Mobile-First' garantizando que la experiencia de uso en teléfonos celulares sea tan fluida y completa como en una computadora de escritorio:</w:t>
      </w:r>
    </w:p>
    <w:p>
      <w:pPr>
        <w:keepNext/>
        <w:spacing w:before="160" w:after="60"/>
        <w:jc w:val="center"/>
      </w:pPr>
      <w:r>
        <w:drawing>
          <wp:inline xmlns:a="http://schemas.openxmlformats.org/drawingml/2006/main" xmlns:pic="http://schemas.openxmlformats.org/drawingml/2006/picture">
            <wp:extent cx="3108960" cy="6728108"/>
            <wp:docPr id="10" name="Picture 10"/>
            <wp:cNvGraphicFramePr>
              <a:graphicFrameLocks noChangeAspect="1"/>
            </wp:cNvGraphicFramePr>
            <a:graphic>
              <a:graphicData uri="http://schemas.openxmlformats.org/drawingml/2006/picture">
                <pic:pic>
                  <pic:nvPicPr>
                    <pic:cNvPr id="0" name="09_vista_movil_smartphone.png"/>
                    <pic:cNvPicPr/>
                  </pic:nvPicPr>
                  <pic:blipFill>
                    <a:blip r:embed="rId19"/>
                    <a:stretch>
                      <a:fillRect/>
                    </a:stretch>
                  </pic:blipFill>
                  <pic:spPr>
                    <a:xfrm>
                      <a:off x="0" y="0"/>
                      <a:ext cx="3108960" cy="6728108"/>
                    </a:xfrm>
                    <a:prstGeom prst="rect"/>
                  </pic:spPr>
                </pic:pic>
              </a:graphicData>
            </a:graphic>
          </wp:inline>
        </w:drawing>
      </w:r>
    </w:p>
    <w:p>
      <w:pPr>
        <w:spacing w:before="0" w:after="200"/>
        <w:jc w:val="center"/>
      </w:pPr>
      <w:r>
        <w:rPr>
          <w:rFonts w:ascii="Segoe UI" w:hAnsi="Segoe UI"/>
          <w:i/>
          <w:color w:val="475569"/>
          <w:sz w:val="18"/>
        </w:rPr>
        <w:t>Figura 10: Vista adaptativa del portal en teléfono inteligente (smartphone).</w:t>
      </w:r>
    </w:p>
    <w:p>
      <w:pPr>
        <w:keepNext/>
        <w:spacing w:before="280" w:after="120"/>
      </w:pPr>
      <w:r>
        <w:rPr>
          <w:rFonts w:ascii="Segoe UI" w:hAnsi="Segoe UI"/>
          <w:b/>
          <w:color w:val="2563EB"/>
          <w:sz w:val="26"/>
        </w:rPr>
        <w:t>10.1. Ventajas de la Versión Móvil</w:t>
      </w:r>
    </w:p>
    <w:p>
      <w:pPr>
        <w:pStyle w:val="ListBullet"/>
        <w:spacing w:before="0" w:after="60" w:line="276" w:lineRule="auto"/>
      </w:pPr>
      <w:r>
        <w:rPr>
          <w:rFonts w:ascii="Segoe UI" w:hAnsi="Segoe UI"/>
          <w:b/>
          <w:color w:val="0F172A"/>
          <w:sz w:val="20"/>
        </w:rPr>
        <w:t xml:space="preserve">Diseño Fluido: </w:t>
      </w:r>
      <w:r>
        <w:rPr>
          <w:rFonts w:ascii="Segoe UI" w:hAnsi="Segoe UI"/>
          <w:color w:val="0F172A"/>
          <w:sz w:val="20"/>
        </w:rPr>
        <w:t xml:space="preserve"> Toda la información se reorganiza en una sola columna vertical ergonómica, fácil de deslizar con el pulgar.</w:t>
      </w:r>
    </w:p>
    <w:p>
      <w:pPr>
        <w:pStyle w:val="ListBullet"/>
        <w:spacing w:before="0" w:after="60" w:line="276" w:lineRule="auto"/>
      </w:pPr>
      <w:r>
        <w:rPr>
          <w:rFonts w:ascii="Segoe UI" w:hAnsi="Segoe UI"/>
          <w:b/>
          <w:color w:val="0F172A"/>
          <w:sz w:val="20"/>
        </w:rPr>
        <w:t xml:space="preserve">Lectura Nítida: </w:t>
      </w:r>
      <w:r>
        <w:rPr>
          <w:rFonts w:ascii="Segoe UI" w:hAnsi="Segoe UI"/>
          <w:color w:val="0F172A"/>
          <w:sz w:val="20"/>
        </w:rPr>
        <w:t xml:space="preserve"> La barra de porcentaje y las etiquetas de estado se ajustan automáticamente a cualquier ancho de pantalla.</w:t>
      </w:r>
    </w:p>
    <w:p>
      <w:pPr>
        <w:pStyle w:val="ListBullet"/>
        <w:spacing w:before="0" w:after="60" w:line="276" w:lineRule="auto"/>
      </w:pPr>
      <w:r>
        <w:rPr>
          <w:rFonts w:ascii="Segoe UI" w:hAnsi="Segoe UI"/>
          <w:b/>
          <w:color w:val="0F172A"/>
          <w:sz w:val="20"/>
        </w:rPr>
        <w:t xml:space="preserve">Sin Instalaciones: </w:t>
      </w:r>
      <w:r>
        <w:rPr>
          <w:rFonts w:ascii="Segoe UI" w:hAnsi="Segoe UI"/>
          <w:color w:val="0F172A"/>
          <w:sz w:val="20"/>
        </w:rPr>
        <w:t xml:space="preserve"> No requiere descargar aplicaciones de tiendas como Google Play o Apple App Store, ahorrando espacio en la memoria del dispositivo.</w:t>
      </w:r>
    </w:p>
    <w:p>
      <w:pPr>
        <w:pStyle w:val="ListBullet"/>
        <w:spacing w:before="0" w:after="60" w:line="276" w:lineRule="auto"/>
      </w:pPr>
      <w:r>
        <w:rPr>
          <w:rFonts w:ascii="Segoe UI" w:hAnsi="Segoe UI"/>
          <w:b/>
          <w:color w:val="0F172A"/>
          <w:sz w:val="20"/>
        </w:rPr>
        <w:t xml:space="preserve">Disponibilidad 24/7: </w:t>
      </w:r>
      <w:r>
        <w:rPr>
          <w:rFonts w:ascii="Segoe UI" w:hAnsi="Segoe UI"/>
          <w:color w:val="0F172A"/>
          <w:sz w:val="20"/>
        </w:rPr>
        <w:t xml:space="preserve"> Permite consultar desde cualquier lugar: en la carretera, oficina o taller particular.</w:t>
      </w:r>
    </w:p>
    <w:p>
      <w:pPr>
        <w:keepNext/>
        <w:spacing w:before="480" w:after="160"/>
      </w:pPr>
      <w:r>
        <w:rPr>
          <w:rFonts w:ascii="Segoe UI" w:hAnsi="Segoe UI"/>
          <w:b/>
          <w:color w:val="1E3A8A"/>
          <w:sz w:val="40"/>
        </w:rPr>
        <w:t>Capítulo 11: Preguntas Frecuentes del Cliente (FAQ)</w:t>
      </w:r>
    </w:p>
    <w:p>
      <w:pPr>
        <w:keepNext/>
        <w:spacing w:before="280" w:after="120"/>
      </w:pPr>
      <w:r>
        <w:rPr>
          <w:rFonts w:ascii="Segoe UI" w:hAnsi="Segoe UI"/>
          <w:b/>
          <w:color w:val="2563EB"/>
          <w:sz w:val="26"/>
        </w:rPr>
        <w:t>1. ¿Por qué no puedo ver cuánto debo o los precios de los repuestos?</w:t>
      </w:r>
    </w:p>
    <w:p>
      <w:pPr>
        <w:spacing w:before="0" w:after="120" w:line="276" w:lineRule="auto"/>
      </w:pPr>
      <w:r>
        <w:rPr>
          <w:rFonts w:ascii="Segoe UI" w:hAnsi="Segoe UI"/>
          <w:i w:val="0"/>
          <w:color w:val="0F172A"/>
          <w:sz w:val="20"/>
        </w:rPr>
        <w:t>Por estrictas políticas de confidencialidad y protección de datos comerciales. La información financiera, facturas y saldos de caja se gestionan exclusivamente en el departamento administrativo para proteger su privacidad.</w:t>
      </w:r>
    </w:p>
    <w:p>
      <w:pPr>
        <w:keepNext/>
        <w:spacing w:before="280" w:after="120"/>
      </w:pPr>
      <w:r>
        <w:rPr>
          <w:rFonts w:ascii="Segoe UI" w:hAnsi="Segoe UI"/>
          <w:b/>
          <w:color w:val="2563EB"/>
          <w:sz w:val="26"/>
        </w:rPr>
        <w:t>2. ¿Puedo reenviar el enlace o el código QR a mi chofer o mecánico de confianza?</w:t>
      </w:r>
    </w:p>
    <w:p>
      <w:pPr>
        <w:spacing w:before="0" w:after="120" w:line="276" w:lineRule="auto"/>
      </w:pPr>
      <w:r>
        <w:rPr>
          <w:rFonts w:ascii="Segoe UI" w:hAnsi="Segoe UI"/>
          <w:i w:val="0"/>
          <w:color w:val="0F172A"/>
          <w:sz w:val="20"/>
        </w:rPr>
        <w:t>Sí, totalmente. Cualquier persona que posea el número de orden y el código de seguimiento podrá ver el estado del motor. Es una excelente herramienta para que dueños de flotas deleguen el seguimiento a sus colaboradores.</w:t>
      </w:r>
    </w:p>
    <w:p>
      <w:pPr>
        <w:keepNext/>
        <w:spacing w:before="280" w:after="120"/>
      </w:pPr>
      <w:r>
        <w:rPr>
          <w:rFonts w:ascii="Segoe UI" w:hAnsi="Segoe UI"/>
          <w:b/>
          <w:color w:val="2563EB"/>
          <w:sz w:val="26"/>
        </w:rPr>
        <w:t>3. ¿Qué hago si extravié el comprobante con mi código de seguimiento?</w:t>
      </w:r>
    </w:p>
    <w:p>
      <w:pPr>
        <w:spacing w:before="0" w:after="120" w:line="276" w:lineRule="auto"/>
      </w:pPr>
      <w:r>
        <w:rPr>
          <w:rFonts w:ascii="Segoe UI" w:hAnsi="Segoe UI"/>
          <w:i w:val="0"/>
          <w:color w:val="0F172A"/>
          <w:sz w:val="20"/>
        </w:rPr>
        <w:t>Debe comunicarse de inmediato con la recepción del taller o presentarse con su documento de identificación. Tras verificar que usted es el titular registrado, el personal le reenviará el código por WhatsApp o correo oficial.</w:t>
      </w:r>
    </w:p>
    <w:p>
      <w:pPr>
        <w:keepNext/>
        <w:spacing w:before="280" w:after="120"/>
      </w:pPr>
      <w:r>
        <w:rPr>
          <w:rFonts w:ascii="Segoe UI" w:hAnsi="Segoe UI"/>
          <w:b/>
          <w:color w:val="2563EB"/>
          <w:sz w:val="26"/>
        </w:rPr>
        <w:t>4. ¿Con qué frecuencia se actualiza el porcentaje de avance?</w:t>
      </w:r>
    </w:p>
    <w:p>
      <w:pPr>
        <w:spacing w:before="0" w:after="120" w:line="276" w:lineRule="auto"/>
      </w:pPr>
      <w:r>
        <w:rPr>
          <w:rFonts w:ascii="Segoe UI" w:hAnsi="Segoe UI"/>
          <w:i w:val="0"/>
          <w:color w:val="0F172A"/>
          <w:sz w:val="20"/>
        </w:rPr>
        <w:t>El porcentaje se actualiza en tiempo real en cuanto el técnico mecánico reporta un avance o cambio de fase en su panel de taller. En cuanto el motor pase a 'Reparación finalizada', usted lo verá reflejado al instante.</w:t>
      </w:r>
    </w:p>
    <w:p>
      <w:pPr>
        <w:keepNext/>
        <w:spacing w:before="280" w:after="120"/>
      </w:pPr>
      <w:r>
        <w:rPr>
          <w:rFonts w:ascii="Segoe UI" w:hAnsi="Segoe UI"/>
          <w:b/>
          <w:color w:val="2563EB"/>
          <w:sz w:val="26"/>
        </w:rPr>
        <w:t>5. ¿El portal me enviará mensajes cuando mi motor esté listo?</w:t>
      </w:r>
    </w:p>
    <w:p>
      <w:pPr>
        <w:spacing w:before="0" w:after="120" w:line="276" w:lineRule="auto"/>
      </w:pPr>
      <w:r>
        <w:rPr>
          <w:rFonts w:ascii="Segoe UI" w:hAnsi="Segoe UI"/>
          <w:i w:val="0"/>
          <w:color w:val="0F172A"/>
          <w:sz w:val="20"/>
        </w:rPr>
        <w:t>El portal le permite consultar en cualquier momento, pero adicionalmente el taller cuenta con servicio de notificación automática vía WhatsApp cuando su orden alcance el 100% de finalización.</w:t>
      </w:r>
    </w:p>
    <w:p>
      <w:pPr>
        <w:keepNext/>
        <w:spacing w:before="480" w:after="160"/>
      </w:pPr>
      <w:r>
        <w:rPr>
          <w:rFonts w:ascii="Segoe UI" w:hAnsi="Segoe UI"/>
          <w:b/>
          <w:color w:val="1E3A8A"/>
          <w:sz w:val="40"/>
        </w:rPr>
        <w:t>Capítulo 12: Directorio de Atención y Asistencia al Cliente</w:t>
      </w:r>
    </w:p>
    <w:p>
      <w:pPr>
        <w:spacing w:before="0" w:after="120" w:line="276" w:lineRule="auto"/>
      </w:pPr>
      <w:r>
        <w:rPr>
          <w:rFonts w:ascii="Segoe UI" w:hAnsi="Segoe UI"/>
          <w:i w:val="0"/>
          <w:color w:val="0F172A"/>
          <w:sz w:val="20"/>
        </w:rPr>
        <w:t>Para cualquier consulta técnica adicional, cotizaciones complementarias o coordinación de retiro de su motor, ponemos a su entera disposición nuestros canales oficiales:</w:t>
      </w:r>
    </w:p>
    <w:tbl>
      <w:tblPr>
        <w:tblW w:type="auto" w:w="0"/>
        <w:jc w:val="center"/>
        <w:tblLook w:firstColumn="1" w:firstRow="1" w:lastColumn="0" w:lastRow="0" w:noHBand="0" w:noVBand="1" w:val="04A0"/>
      </w:tblPr>
      <w:tblGrid>
        <w:gridCol w:w="4680"/>
        <w:gridCol w:w="4680"/>
      </w:tblGrid>
      <w:tr>
        <w:tc>
          <w:tcPr>
            <w:tcW w:type="dxa" w:w="4032"/>
          </w:tcPr>
          <w:p>
            <w:pPr>
              <w:spacing w:before="60" w:after="60"/>
            </w:pPr>
            <w:r>
              <w:rPr>
                <w:rFonts w:ascii="Segoe UI" w:hAnsi="Segoe UI"/>
                <w:b/>
                <w:color w:val="1E3A8A"/>
                <w:sz w:val="19"/>
              </w:rPr>
              <w:t>Área de Atención al Cliente y Recepción:</w:t>
            </w:r>
          </w:p>
        </w:tc>
        <w:tc>
          <w:tcPr>
            <w:tcW w:type="dxa" w:w="5328"/>
          </w:tcPr>
          <w:p>
            <w:pPr>
              <w:spacing w:before="60" w:after="60"/>
            </w:pPr>
            <w:r>
              <w:rPr>
                <w:rFonts w:ascii="Segoe UI" w:hAnsi="Segoe UI"/>
                <w:color w:val="0F172A"/>
                <w:sz w:val="19"/>
              </w:rPr>
              <w:t>PBX: +502 2222-0000 / WhatsApp: +502 5555-0000</w:t>
            </w:r>
          </w:p>
        </w:tc>
      </w:tr>
      <w:tr>
        <w:tc>
          <w:tcPr>
            <w:tcW w:type="dxa" w:w="4032"/>
          </w:tcPr>
          <w:p>
            <w:pPr>
              <w:spacing w:before="60" w:after="60"/>
            </w:pPr>
            <w:r>
              <w:rPr>
                <w:rFonts w:ascii="Segoe UI" w:hAnsi="Segoe UI"/>
                <w:b/>
                <w:color w:val="1E3A8A"/>
                <w:sz w:val="19"/>
              </w:rPr>
              <w:t>Horario de Atención en Taller:</w:t>
            </w:r>
          </w:p>
        </w:tc>
        <w:tc>
          <w:tcPr>
            <w:tcW w:type="dxa" w:w="5328"/>
          </w:tcPr>
          <w:p>
            <w:pPr>
              <w:spacing w:before="60" w:after="60"/>
            </w:pPr>
            <w:r>
              <w:rPr>
                <w:rFonts w:ascii="Segoe UI" w:hAnsi="Segoe UI"/>
                <w:color w:val="0F172A"/>
                <w:sz w:val="19"/>
              </w:rPr>
              <w:t>Lunes a Viernes de 7:30 a 17:30 hrs | Sábados de 8:00 a 12:30 hrs</w:t>
            </w:r>
          </w:p>
        </w:tc>
      </w:tr>
      <w:tr>
        <w:tc>
          <w:tcPr>
            <w:tcW w:type="dxa" w:w="4032"/>
          </w:tcPr>
          <w:p>
            <w:pPr>
              <w:spacing w:before="60" w:after="60"/>
            </w:pPr>
            <w:r>
              <w:rPr>
                <w:rFonts w:ascii="Segoe UI" w:hAnsi="Segoe UI"/>
                <w:b/>
                <w:color w:val="1E3A8A"/>
                <w:sz w:val="19"/>
              </w:rPr>
              <w:t>Área de Facturación y Cobros (Caja):</w:t>
            </w:r>
          </w:p>
        </w:tc>
        <w:tc>
          <w:tcPr>
            <w:tcW w:type="dxa" w:w="5328"/>
          </w:tcPr>
          <w:p>
            <w:pPr>
              <w:spacing w:before="60" w:after="60"/>
            </w:pPr>
            <w:r>
              <w:rPr>
                <w:rFonts w:ascii="Segoe UI" w:hAnsi="Segoe UI"/>
                <w:color w:val="0F172A"/>
                <w:sz w:val="19"/>
              </w:rPr>
              <w:t>caja@reconstruccionmotores.com</w:t>
            </w:r>
          </w:p>
        </w:tc>
      </w:tr>
      <w:tr>
        <w:tc>
          <w:tcPr>
            <w:tcW w:type="dxa" w:w="4032"/>
          </w:tcPr>
          <w:p>
            <w:pPr>
              <w:spacing w:before="60" w:after="60"/>
            </w:pPr>
            <w:r>
              <w:rPr>
                <w:rFonts w:ascii="Segoe UI" w:hAnsi="Segoe UI"/>
                <w:b/>
                <w:color w:val="1E3A8A"/>
                <w:sz w:val="19"/>
              </w:rPr>
              <w:t>Ubicación de Planta y Bodega de Motores:</w:t>
            </w:r>
          </w:p>
        </w:tc>
        <w:tc>
          <w:tcPr>
            <w:tcW w:type="dxa" w:w="5328"/>
          </w:tcPr>
          <w:p>
            <w:pPr>
              <w:spacing w:before="60" w:after="60"/>
            </w:pPr>
            <w:r>
              <w:rPr>
                <w:rFonts w:ascii="Segoe UI" w:hAnsi="Segoe UI"/>
                <w:color w:val="0F172A"/>
                <w:sz w:val="19"/>
              </w:rPr>
              <w:t>Zona Industrial Automotriz, Calzada Principal</w:t>
            </w:r>
          </w:p>
        </w:tc>
      </w:tr>
      <w:tr>
        <w:tc>
          <w:tcPr>
            <w:tcW w:type="dxa" w:w="4032"/>
          </w:tcPr>
          <w:p>
            <w:pPr>
              <w:spacing w:before="60" w:after="60"/>
            </w:pPr>
            <w:r>
              <w:rPr>
                <w:rFonts w:ascii="Segoe UI" w:hAnsi="Segoe UI"/>
                <w:b/>
                <w:color w:val="1E3A8A"/>
                <w:sz w:val="19"/>
              </w:rPr>
              <w:t>Portal Web Oficial de Seguimiento:</w:t>
            </w:r>
          </w:p>
        </w:tc>
        <w:tc>
          <w:tcPr>
            <w:tcW w:type="dxa" w:w="5328"/>
          </w:tcPr>
          <w:p>
            <w:pPr>
              <w:spacing w:before="60" w:after="60"/>
            </w:pPr>
            <w:r>
              <w:rPr>
                <w:rFonts w:ascii="Segoe UI" w:hAnsi="Segoe UI"/>
                <w:color w:val="0F172A"/>
                <w:sz w:val="19"/>
              </w:rPr>
              <w:t>https://sistema-motores-frontend.vercel.app/seguimiento</w:t>
            </w:r>
          </w:p>
        </w:tc>
      </w:tr>
    </w:tbl>
    <w:p>
      <w:pPr>
        <w:spacing w:before="480"/>
      </w:pPr>
      <w:r>
        <w:rPr>
          <w:rFonts w:ascii="Segoe UI" w:hAnsi="Segoe UI"/>
          <w:i/>
          <w:color w:val="475569"/>
          <w:sz w:val="20"/>
        </w:rPr>
        <w:t>Gracias por confiar en nuestros servicios profesionales de rectificación y reconstrucción de motores.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8"/>
      </w:rPr>
      <w:t xml:space="preserve">Sistema de Reconstrucción de Motores · Portal Clientes | Página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