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spacing w:after="400"/>
      </w:pPr>
      <w:r>
        <w:rPr>
          <w:rFonts w:ascii="Segoe UI" w:hAnsi="Segoe UI"/>
          <w:b/>
          <w:color w:val="475569"/>
          <w:sz w:val="26"/>
        </w:rPr>
        <w:t>TALLER DE RECONSTRUCCIÓN DE MOTORES</w:t>
      </w:r>
    </w:p>
    <w:p>
      <w:pPr>
        <w:spacing w:after="120"/>
      </w:pPr>
      <w:r>
        <w:rPr>
          <w:rFonts w:ascii="Segoe UI" w:hAnsi="Segoe UI"/>
          <w:b/>
          <w:color w:val="1E3A8A"/>
          <w:sz w:val="64"/>
        </w:rPr>
        <w:t>MANUAL DE USUARIO</w:t>
      </w:r>
    </w:p>
    <w:p>
      <w:pPr>
        <w:spacing w:after="500"/>
      </w:pPr>
      <w:r>
        <w:rPr>
          <w:rFonts w:ascii="Segoe UI" w:hAnsi="Segoe UI"/>
          <w:b/>
          <w:color w:val="2563EB"/>
          <w:sz w:val="36"/>
        </w:rPr>
        <w:t>Módulo de Gestión de Caja y Cobros</w:t>
      </w:r>
    </w:p>
    <w:p>
      <w:pPr>
        <w:spacing w:line="288" w:lineRule="auto" w:after="2800"/>
      </w:pPr>
      <w:r>
        <w:rPr>
          <w:rFonts w:ascii="Segoe UI" w:hAnsi="Segoe UI"/>
          <w:color w:val="475569"/>
          <w:sz w:val="22"/>
        </w:rPr>
        <w:t>Guía oficial completa con capturas de pantalla reales para la apertura de turnos con fondo inicial, consulta de órdenes con saldo pendiente, desglose de cotizaciones y repuestos, recepción y registro de pagos (efectivo, transferencias, tarjetas), arqueo físico de caja y conciliación diaria.</w:t>
      </w:r>
    </w:p>
    <w:p>
      <w:pPr>
        <w:spacing w:before="800" w:line="288" w:lineRule="auto"/>
      </w:pPr>
      <w:r>
        <w:rPr>
          <w:b/>
          <w:color w:val="1E3A8A"/>
        </w:rPr>
        <w:t xml:space="preserve">Rol Objetivo: </w:t>
      </w:r>
      <w:r>
        <w:t>Cajero / Personal de Cobros / Finanzas Operativas</w:t>
        <w:br/>
      </w:r>
      <w:r>
        <w:rPr>
          <w:b/>
          <w:color w:val="1E3A8A"/>
        </w:rPr>
        <w:t xml:space="preserve">Versión del Sistema: </w:t>
      </w:r>
      <w:r>
        <w:t>1.0.0 Producción (Cloud &amp; Web)</w:t>
        <w:br/>
      </w:r>
      <w:r>
        <w:rPr>
          <w:b/>
          <w:color w:val="1E3A8A"/>
        </w:rPr>
        <w:t xml:space="preserve">Fecha de Publicación: </w:t>
      </w:r>
      <w:r>
        <w:t>Octubre 2026</w:t>
        <w:br/>
      </w:r>
    </w:p>
    <w:p>
      <w:r>
        <w:br w:type="page"/>
      </w:r>
    </w:p>
    <w:p>
      <w:pPr>
        <w:keepNext/>
        <w:spacing w:before="480" w:after="160"/>
      </w:pPr>
      <w:r>
        <w:rPr>
          <w:rFonts w:ascii="Segoe UI" w:hAnsi="Segoe UI"/>
          <w:b/>
          <w:color w:val="1E3A8A"/>
          <w:sz w:val="40"/>
        </w:rPr>
        <w:t>Tabla de Contenido</w:t>
      </w:r>
    </w:p>
    <w:p>
      <w:pPr>
        <w:spacing w:after="80"/>
      </w:pPr>
      <w:r>
        <w:rPr>
          <w:rFonts w:ascii="Segoe UI" w:hAnsi="Segoe UI"/>
          <w:b/>
          <w:color w:val="2563EB"/>
          <w:sz w:val="22"/>
        </w:rPr>
        <w:t>1. Introducción y Alcance del Módulo de Caja</w:t>
      </w:r>
      <w:r>
        <w:t xml:space="preserve"> — </w:t>
      </w:r>
      <w:r>
        <w:rPr>
          <w:rFonts w:ascii="Segoe UI" w:hAnsi="Segoe UI"/>
          <w:color w:val="475569"/>
          <w:sz w:val="20"/>
        </w:rPr>
        <w:t>Responsabilidad financiera y propósito del puesto</w:t>
      </w:r>
    </w:p>
    <w:p>
      <w:pPr>
        <w:spacing w:after="80"/>
      </w:pPr>
      <w:r>
        <w:rPr>
          <w:rFonts w:ascii="Segoe UI" w:hAnsi="Segoe UI"/>
          <w:b/>
          <w:color w:val="2563EB"/>
          <w:sz w:val="22"/>
        </w:rPr>
        <w:t>2. Requisitos de Acceso y Navegación</w:t>
      </w:r>
      <w:r>
        <w:t xml:space="preserve"> — </w:t>
      </w:r>
      <w:r>
        <w:rPr>
          <w:rFonts w:ascii="Segoe UI" w:hAnsi="Segoe UI"/>
          <w:color w:val="475569"/>
          <w:sz w:val="20"/>
        </w:rPr>
        <w:t>URL de acceso y panel de navegación de caja</w:t>
      </w:r>
    </w:p>
    <w:p>
      <w:pPr>
        <w:spacing w:after="80"/>
      </w:pPr>
      <w:r>
        <w:rPr>
          <w:rFonts w:ascii="Segoe UI" w:hAnsi="Segoe UI"/>
          <w:b/>
          <w:color w:val="2563EB"/>
          <w:sz w:val="22"/>
        </w:rPr>
        <w:t>3. Acceso al Sistema e Inicio de Sesión</w:t>
      </w:r>
      <w:r>
        <w:t xml:space="preserve"> — </w:t>
      </w:r>
      <w:r>
        <w:rPr>
          <w:rFonts w:ascii="Segoe UI" w:hAnsi="Segoe UI"/>
          <w:color w:val="475569"/>
          <w:sz w:val="20"/>
        </w:rPr>
        <w:t>Autenticación segura del rol Cajero</w:t>
      </w:r>
    </w:p>
    <w:p>
      <w:pPr>
        <w:spacing w:after="80"/>
      </w:pPr>
      <w:r>
        <w:rPr>
          <w:rFonts w:ascii="Segoe UI" w:hAnsi="Segoe UI"/>
          <w:b/>
          <w:color w:val="2563EB"/>
          <w:sz w:val="22"/>
        </w:rPr>
        <w:t>4. Apertura de Turno de Caja (Fondo Inicial)</w:t>
      </w:r>
      <w:r>
        <w:t xml:space="preserve"> — </w:t>
      </w:r>
      <w:r>
        <w:rPr>
          <w:rFonts w:ascii="Segoe UI" w:hAnsi="Segoe UI"/>
          <w:color w:val="475569"/>
          <w:sz w:val="20"/>
        </w:rPr>
        <w:t>Registro de base de efectivo y activación del punto de cobro</w:t>
      </w:r>
    </w:p>
    <w:p>
      <w:pPr>
        <w:spacing w:after="80"/>
      </w:pPr>
      <w:r>
        <w:rPr>
          <w:rFonts w:ascii="Segoe UI" w:hAnsi="Segoe UI"/>
          <w:b/>
          <w:color w:val="2563EB"/>
          <w:sz w:val="22"/>
        </w:rPr>
        <w:t>5. Dashboard de Caja (Resumen Operativo Diario)</w:t>
      </w:r>
      <w:r>
        <w:t xml:space="preserve"> — </w:t>
      </w:r>
      <w:r>
        <w:rPr>
          <w:rFonts w:ascii="Segoe UI" w:hAnsi="Segoe UI"/>
          <w:color w:val="475569"/>
          <w:sz w:val="20"/>
        </w:rPr>
        <w:t>Métricas de cobro del día y tabla de últimos pagos</w:t>
      </w:r>
    </w:p>
    <w:p>
      <w:pPr>
        <w:spacing w:after="80"/>
      </w:pPr>
      <w:r>
        <w:rPr>
          <w:rFonts w:ascii="Segoe UI" w:hAnsi="Segoe UI"/>
          <w:b/>
          <w:color w:val="2563EB"/>
          <w:sz w:val="22"/>
        </w:rPr>
        <w:t>6. Módulo de Cobros y Órdenes de Trabajo</w:t>
      </w:r>
      <w:r>
        <w:t xml:space="preserve"> — </w:t>
      </w:r>
      <w:r>
        <w:rPr>
          <w:rFonts w:ascii="Segoe UI" w:hAnsi="Segoe UI"/>
          <w:color w:val="475569"/>
          <w:sz w:val="20"/>
        </w:rPr>
        <w:t>Consulta de órdenes, saldos pendientes y estados</w:t>
      </w:r>
    </w:p>
    <w:p>
      <w:pPr>
        <w:spacing w:after="80"/>
      </w:pPr>
      <w:r>
        <w:rPr>
          <w:rFonts w:ascii="Segoe UI" w:hAnsi="Segoe UI"/>
          <w:b/>
          <w:color w:val="2563EB"/>
          <w:sz w:val="22"/>
        </w:rPr>
        <w:t>7. Resumen Técnico y Desglose Económico Previo al Cobro</w:t>
      </w:r>
      <w:r>
        <w:t xml:space="preserve"> — </w:t>
      </w:r>
      <w:r>
        <w:rPr>
          <w:rFonts w:ascii="Segoe UI" w:hAnsi="Segoe UI"/>
          <w:color w:val="475569"/>
          <w:sz w:val="20"/>
        </w:rPr>
        <w:t>Verificación de mano de obra y repuestos antes de cobrar</w:t>
      </w:r>
    </w:p>
    <w:p>
      <w:pPr>
        <w:spacing w:after="80"/>
      </w:pPr>
      <w:r>
        <w:rPr>
          <w:rFonts w:ascii="Segoe UI" w:hAnsi="Segoe UI"/>
          <w:b/>
          <w:color w:val="2563EB"/>
          <w:sz w:val="22"/>
        </w:rPr>
        <w:t>8. Registro de Pagos y Abonos</w:t>
      </w:r>
      <w:r>
        <w:t xml:space="preserve"> — </w:t>
      </w:r>
      <w:r>
        <w:rPr>
          <w:rFonts w:ascii="Segoe UI" w:hAnsi="Segoe UI"/>
          <w:color w:val="475569"/>
          <w:sz w:val="20"/>
        </w:rPr>
        <w:t>Monto a cobrar, atajo de saldo total, métodos de pago y referencias</w:t>
      </w:r>
    </w:p>
    <w:p>
      <w:pPr>
        <w:spacing w:after="80"/>
      </w:pPr>
      <w:r>
        <w:rPr>
          <w:rFonts w:ascii="Segoe UI" w:hAnsi="Segoe UI"/>
          <w:b/>
          <w:color w:val="2563EB"/>
          <w:sz w:val="22"/>
        </w:rPr>
        <w:t>9. Historial General de Pagos</w:t>
      </w:r>
      <w:r>
        <w:t xml:space="preserve"> — </w:t>
      </w:r>
      <w:r>
        <w:rPr>
          <w:rFonts w:ascii="Segoe UI" w:hAnsi="Segoe UI"/>
          <w:color w:val="475569"/>
          <w:sz w:val="20"/>
        </w:rPr>
        <w:t>Bitácora completa de transacciones y auditoría de ingresos</w:t>
      </w:r>
    </w:p>
    <w:p>
      <w:pPr>
        <w:spacing w:after="80"/>
      </w:pPr>
      <w:r>
        <w:rPr>
          <w:rFonts w:ascii="Segoe UI" w:hAnsi="Segoe UI"/>
          <w:b/>
          <w:color w:val="2563EB"/>
          <w:sz w:val="22"/>
        </w:rPr>
        <w:t>10. Arqueo y Cierre de Turno de Caja</w:t>
      </w:r>
      <w:r>
        <w:t xml:space="preserve"> — </w:t>
      </w:r>
      <w:r>
        <w:rPr>
          <w:rFonts w:ascii="Segoe UI" w:hAnsi="Segoe UI"/>
          <w:color w:val="475569"/>
          <w:sz w:val="20"/>
        </w:rPr>
        <w:t>Conteo físico, cálculo de diferencias, observaciones y cierre definitivo</w:t>
      </w:r>
    </w:p>
    <w:p>
      <w:pPr>
        <w:spacing w:after="80"/>
      </w:pPr>
      <w:r>
        <w:rPr>
          <w:rFonts w:ascii="Segoe UI" w:hAnsi="Segoe UI"/>
          <w:b/>
          <w:color w:val="2563EB"/>
          <w:sz w:val="22"/>
        </w:rPr>
        <w:t>11. Políticas de Seguridad y Preguntas Frecuentes</w:t>
      </w:r>
      <w:r>
        <w:t xml:space="preserve"> — </w:t>
      </w:r>
      <w:r>
        <w:rPr>
          <w:rFonts w:ascii="Segoe UI" w:hAnsi="Segoe UI"/>
          <w:color w:val="475569"/>
          <w:sz w:val="20"/>
        </w:rPr>
        <w:t>Reglas contra fraude, manejo de diferencias y buenas prácticas</w:t>
      </w:r>
    </w:p>
    <w:p>
      <w:r>
        <w:br w:type="page"/>
      </w:r>
    </w:p>
    <w:p>
      <w:pPr>
        <w:keepNext/>
        <w:spacing w:before="480" w:after="160"/>
      </w:pPr>
      <w:r>
        <w:rPr>
          <w:rFonts w:ascii="Segoe UI" w:hAnsi="Segoe UI"/>
          <w:b/>
          <w:color w:val="1E3A8A"/>
          <w:sz w:val="40"/>
        </w:rPr>
        <w:t>1. Introducción y Alcance del Módulo de Caja</w:t>
      </w:r>
    </w:p>
    <w:p>
      <w:pPr>
        <w:spacing w:after="120" w:line="276" w:lineRule="auto"/>
      </w:pPr>
      <w:r>
        <w:rPr>
          <w:rFonts w:ascii="Segoe UI" w:hAnsi="Segoe UI"/>
          <w:color w:val="0F172A"/>
          <w:sz w:val="21"/>
        </w:rPr>
        <w:t>El módulo de Gestión de Caja es la interfaz responsable de custodiar, registrar y conciliar todos los ingresos económicos que percibe el taller por concepto de reconstrucción de motores, servicios mecánicos y venta de repuestos. El Cajero opera como el puente entre la entrega técnica del motor y la liquidación formal del servicio.</w:t>
      </w:r>
    </w:p>
    <w:p>
      <w:pPr>
        <w:spacing w:after="120" w:line="276" w:lineRule="auto"/>
      </w:pPr>
      <w:r>
        <w:rPr>
          <w:rFonts w:ascii="Segoe UI" w:hAnsi="Segoe UI"/>
          <w:color w:val="0F172A"/>
          <w:sz w:val="21"/>
        </w:rPr>
        <w:t>Las funciones principales asignadas al Cajero son:</w:t>
      </w:r>
    </w:p>
    <w:p>
      <w:pPr>
        <w:pStyle w:val="ListBullet"/>
        <w:spacing w:after="80" w:line="276" w:lineRule="auto"/>
      </w:pPr>
      <w:r>
        <w:rPr>
          <w:rFonts w:ascii="Segoe UI" w:hAnsi="Segoe UI"/>
          <w:b/>
          <w:color w:val="0F172A"/>
          <w:sz w:val="21"/>
        </w:rPr>
        <w:t xml:space="preserve">Apertura y Cierre Formal de Turnos: </w:t>
      </w:r>
      <w:r>
        <w:rPr>
          <w:rFonts w:ascii="Segoe UI" w:hAnsi="Segoe UI"/>
          <w:color w:val="0F172A"/>
          <w:sz w:val="21"/>
        </w:rPr>
        <w:t>Establecer la base inicial de efectivo en caja al iniciar la jornada y conciliar el arqueo físico al finalizar.</w:t>
      </w:r>
    </w:p>
    <w:p>
      <w:pPr>
        <w:pStyle w:val="ListBullet"/>
        <w:spacing w:after="80" w:line="276" w:lineRule="auto"/>
      </w:pPr>
      <w:r>
        <w:rPr>
          <w:rFonts w:ascii="Segoe UI" w:hAnsi="Segoe UI"/>
          <w:b/>
          <w:color w:val="0F172A"/>
          <w:sz w:val="21"/>
        </w:rPr>
        <w:t xml:space="preserve">Recepción de Pagos y Abonos: </w:t>
      </w:r>
      <w:r>
        <w:rPr>
          <w:rFonts w:ascii="Segoe UI" w:hAnsi="Segoe UI"/>
          <w:color w:val="0F172A"/>
          <w:sz w:val="21"/>
        </w:rPr>
        <w:t>Cobrar anticipos, abonos parciales o liquidaciones totales a las órdenes de trabajo activas.</w:t>
      </w:r>
    </w:p>
    <w:p>
      <w:pPr>
        <w:pStyle w:val="ListBullet"/>
        <w:spacing w:after="80" w:line="276" w:lineRule="auto"/>
      </w:pPr>
      <w:r>
        <w:rPr>
          <w:rFonts w:ascii="Segoe UI" w:hAnsi="Segoe UI"/>
          <w:b/>
          <w:color w:val="0F172A"/>
          <w:sz w:val="21"/>
        </w:rPr>
        <w:t xml:space="preserve">Validación de Métodos de Pago: </w:t>
      </w:r>
      <w:r>
        <w:rPr>
          <w:rFonts w:ascii="Segoe UI" w:hAnsi="Segoe UI"/>
          <w:color w:val="0F172A"/>
          <w:sz w:val="21"/>
        </w:rPr>
        <w:t>Custodiar efectivo físico y validar obligatoriamente los números de boleta o transferencia bancaria antes de liberar el saldo.</w:t>
      </w:r>
    </w:p>
    <w:p>
      <w:pPr>
        <w:pStyle w:val="ListBullet"/>
        <w:spacing w:after="80" w:line="276" w:lineRule="auto"/>
      </w:pPr>
      <w:r>
        <w:rPr>
          <w:rFonts w:ascii="Segoe UI" w:hAnsi="Segoe UI"/>
          <w:b/>
          <w:color w:val="0F172A"/>
          <w:sz w:val="21"/>
        </w:rPr>
        <w:t xml:space="preserve">Consulta Transparente de Cargos: </w:t>
      </w:r>
      <w:r>
        <w:rPr>
          <w:rFonts w:ascii="Segoe UI" w:hAnsi="Segoe UI"/>
          <w:color w:val="0F172A"/>
          <w:sz w:val="21"/>
        </w:rPr>
        <w:t>Verificar qué trabajos y qué repuestos aprobados por bodega integran el saldo total antes de efectuar el cobro.</w:t>
      </w:r>
    </w:p>
    <w:p>
      <w:pPr>
        <w:pStyle w:val="ListBullet"/>
        <w:spacing w:after="80" w:line="276" w:lineRule="auto"/>
      </w:pPr>
      <w:r>
        <w:rPr>
          <w:rFonts w:ascii="Segoe UI" w:hAnsi="Segoe UI"/>
          <w:b/>
          <w:color w:val="0F172A"/>
          <w:sz w:val="21"/>
        </w:rPr>
        <w:t xml:space="preserve">Arqueo y Detección de Diferencias: </w:t>
      </w:r>
      <w:r>
        <w:rPr>
          <w:rFonts w:ascii="Segoe UI" w:hAnsi="Segoe UI"/>
          <w:color w:val="0F172A"/>
          <w:sz w:val="21"/>
        </w:rPr>
        <w:t>Garantizar que el dinero físico en caja coincida con la suma del fondo inicial más los cobros en efectivo registrados.</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24" w:space="0" w:color="2563EB"/>
              <w:bottom w:val="none"/>
              <w:right w:val="none"/>
            </w:tcBorders>
          </w:tcPr>
          <w:p>
            <w:pPr>
              <w:spacing w:before="120" w:after="40"/>
            </w:pPr>
            <w:r>
              <w:rPr>
                <w:rFonts w:ascii="Segoe UI" w:hAnsi="Segoe UI"/>
                <w:b/>
                <w:color w:val="1E3A8A"/>
                <w:sz w:val="21"/>
              </w:rPr>
              <w:t xml:space="preserve">📌 Principio de Responsabilidad de Caja: </w:t>
            </w:r>
            <w:r>
              <w:rPr>
                <w:rFonts w:ascii="Segoe UI" w:hAnsi="Segoe UI"/>
                <w:color w:val="0F172A"/>
                <w:sz w:val="20"/>
              </w:rPr>
              <w:t>El cajero es el único colaborador facultado para emitir recibos de pago. Cada transacción queda firmada digitalmente con el nombre del cajero responsable, la fecha y la hora exacta de la recaudación.</w:t>
            </w:r>
          </w:p>
        </w:tc>
      </w:tr>
    </w:tbl>
    <w:p>
      <w:pPr>
        <w:spacing w:before="80" w:after="80"/>
      </w:pPr>
    </w:p>
    <w:p>
      <w:pPr>
        <w:keepNext/>
        <w:spacing w:before="480" w:after="160"/>
      </w:pPr>
      <w:r>
        <w:rPr>
          <w:rFonts w:ascii="Segoe UI" w:hAnsi="Segoe UI"/>
          <w:b/>
          <w:color w:val="1E3A8A"/>
          <w:sz w:val="40"/>
        </w:rPr>
        <w:t>2. Requisitos de Acceso y Navegación</w:t>
      </w:r>
    </w:p>
    <w:p>
      <w:pPr>
        <w:spacing w:after="120" w:line="276" w:lineRule="auto"/>
      </w:pPr>
      <w:r>
        <w:rPr>
          <w:rFonts w:ascii="Segoe UI" w:hAnsi="Segoe UI"/>
          <w:color w:val="0F172A"/>
          <w:sz w:val="21"/>
        </w:rPr>
        <w:t>El acceso se realiza a través de un navegador web estándar desde la terminal asignada en la caja o recepción del taller.</w:t>
      </w:r>
    </w:p>
    <w:p>
      <w:pPr>
        <w:pStyle w:val="ListBullet"/>
        <w:spacing w:after="80" w:line="276" w:lineRule="auto"/>
      </w:pPr>
      <w:r>
        <w:rPr>
          <w:rFonts w:ascii="Segoe UI" w:hAnsi="Segoe UI"/>
          <w:b/>
          <w:color w:val="0F172A"/>
          <w:sz w:val="21"/>
        </w:rPr>
        <w:t xml:space="preserve">URL de Producción (Cloud): </w:t>
      </w:r>
      <w:r>
        <w:rPr>
          <w:rFonts w:ascii="Segoe UI" w:hAnsi="Segoe UI"/>
          <w:color w:val="0F172A"/>
          <w:sz w:val="21"/>
        </w:rPr>
        <w:t>https://sistema-motores-frontend.vercel.app/caja</w:t>
      </w:r>
    </w:p>
    <w:p>
      <w:pPr>
        <w:pStyle w:val="ListBullet"/>
        <w:spacing w:after="80" w:line="276" w:lineRule="auto"/>
      </w:pPr>
      <w:r>
        <w:rPr>
          <w:rFonts w:ascii="Segoe UI" w:hAnsi="Segoe UI"/>
          <w:b/>
          <w:color w:val="0F172A"/>
          <w:sz w:val="21"/>
        </w:rPr>
        <w:t xml:space="preserve">URL de Red Local: </w:t>
      </w:r>
      <w:r>
        <w:rPr>
          <w:rFonts w:ascii="Segoe UI" w:hAnsi="Segoe UI"/>
          <w:color w:val="0F172A"/>
          <w:sz w:val="21"/>
        </w:rPr>
        <w:t>http://localhost:3000/caja</w:t>
      </w:r>
    </w:p>
    <w:p>
      <w:pPr>
        <w:keepNext/>
        <w:spacing w:before="480" w:after="160"/>
      </w:pPr>
      <w:r>
        <w:rPr>
          <w:rFonts w:ascii="Segoe UI" w:hAnsi="Segoe UI"/>
          <w:b/>
          <w:color w:val="1E3A8A"/>
          <w:sz w:val="40"/>
        </w:rPr>
        <w:t>3. Acceso al Sistema e Inicio de Sesión</w:t>
      </w:r>
    </w:p>
    <w:p>
      <w:pPr>
        <w:spacing w:after="120" w:line="276" w:lineRule="auto"/>
      </w:pPr>
      <w:r>
        <w:rPr>
          <w:rFonts w:ascii="Segoe UI" w:hAnsi="Segoe UI"/>
          <w:color w:val="0F172A"/>
          <w:sz w:val="21"/>
        </w:rPr>
        <w:t>Para ingresar a la terminal de cobros:</w:t>
      </w:r>
    </w:p>
    <w:p>
      <w:pPr>
        <w:pStyle w:val="ListBullet"/>
        <w:spacing w:after="80" w:line="276" w:lineRule="auto"/>
      </w:pPr>
      <w:r>
        <w:rPr>
          <w:rFonts w:ascii="Segoe UI" w:hAnsi="Segoe UI"/>
          <w:b/>
          <w:color w:val="0F172A"/>
          <w:sz w:val="21"/>
        </w:rPr>
        <w:t xml:space="preserve">Paso 1: </w:t>
      </w:r>
      <w:r>
        <w:rPr>
          <w:rFonts w:ascii="Segoe UI" w:hAnsi="Segoe UI"/>
          <w:color w:val="0F172A"/>
          <w:sz w:val="21"/>
        </w:rPr>
        <w:t>Ingrese su correo institucional registrado con rol de Cajero (ej. hola@gmail.com).</w:t>
      </w:r>
    </w:p>
    <w:p>
      <w:pPr>
        <w:pStyle w:val="ListBullet"/>
        <w:spacing w:after="80" w:line="276" w:lineRule="auto"/>
      </w:pPr>
      <w:r>
        <w:rPr>
          <w:rFonts w:ascii="Segoe UI" w:hAnsi="Segoe UI"/>
          <w:b/>
          <w:color w:val="0F172A"/>
          <w:sz w:val="21"/>
        </w:rPr>
        <w:t xml:space="preserve">Paso 2: </w:t>
      </w:r>
      <w:r>
        <w:rPr>
          <w:rFonts w:ascii="Segoe UI" w:hAnsi="Segoe UI"/>
          <w:color w:val="0F172A"/>
          <w:sz w:val="21"/>
        </w:rPr>
        <w:t>Introduzca su contraseña personal.</w:t>
      </w:r>
    </w:p>
    <w:p>
      <w:pPr>
        <w:pStyle w:val="ListBullet"/>
        <w:spacing w:after="80" w:line="276" w:lineRule="auto"/>
      </w:pPr>
      <w:r>
        <w:rPr>
          <w:rFonts w:ascii="Segoe UI" w:hAnsi="Segoe UI"/>
          <w:b/>
          <w:color w:val="0F172A"/>
          <w:sz w:val="21"/>
        </w:rPr>
        <w:t xml:space="preserve">Paso 3: </w:t>
      </w:r>
      <w:r>
        <w:rPr>
          <w:rFonts w:ascii="Segoe UI" w:hAnsi="Segoe UI"/>
          <w:color w:val="0F172A"/>
          <w:sz w:val="21"/>
        </w:rPr>
        <w:t>Haga clic en 'Ingresar al panel'.</w:t>
      </w:r>
    </w:p>
    <w:p>
      <w:pPr>
        <w:keepNext/>
        <w:spacing w:before="16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1: Pantalla de inicio de sesión seguro del sistema Motor Repair.</w:t>
      </w:r>
    </w:p>
    <w:p>
      <w:pPr>
        <w:spacing w:after="120" w:line="276" w:lineRule="auto"/>
      </w:pPr>
      <w:r>
        <w:rPr>
          <w:rFonts w:ascii="Segoe UI" w:hAnsi="Segoe UI"/>
          <w:color w:val="0F172A"/>
          <w:sz w:val="21"/>
        </w:rPr>
        <w:t>El sistema validará las credenciales y lo conducirá directamente al panel de Gestión de Caja.</w:t>
      </w:r>
    </w:p>
    <w:p>
      <w:pPr>
        <w:keepNext/>
        <w:spacing w:before="480" w:after="160"/>
      </w:pPr>
      <w:r>
        <w:rPr>
          <w:rFonts w:ascii="Segoe UI" w:hAnsi="Segoe UI"/>
          <w:b/>
          <w:color w:val="1E3A8A"/>
          <w:sz w:val="40"/>
        </w:rPr>
        <w:t>4. Apertura de Turno de Caja (Fondo Inicial)</w:t>
      </w:r>
    </w:p>
    <w:p>
      <w:pPr>
        <w:spacing w:after="120" w:line="276" w:lineRule="auto"/>
      </w:pPr>
      <w:r>
        <w:rPr>
          <w:rFonts w:ascii="Segoe UI" w:hAnsi="Segoe UI"/>
          <w:color w:val="0F172A"/>
          <w:sz w:val="21"/>
        </w:rPr>
        <w:t>Al iniciar cada turno laboral (mañana o tarde), el cajero debe dirigirse a 'Cierre de caja' en el menú lateral para registrar la apertura formal antes de realizar cobros.</w:t>
      </w:r>
    </w:p>
    <w:p>
      <w:pPr>
        <w:pStyle w:val="ListBullet"/>
        <w:spacing w:after="80" w:line="276" w:lineRule="auto"/>
      </w:pPr>
      <w:r>
        <w:rPr>
          <w:rFonts w:ascii="Segoe UI" w:hAnsi="Segoe UI"/>
          <w:b/>
          <w:color w:val="0F172A"/>
          <w:sz w:val="21"/>
        </w:rPr>
        <w:t xml:space="preserve">Conteo de Base: </w:t>
      </w:r>
      <w:r>
        <w:rPr>
          <w:rFonts w:ascii="Segoe UI" w:hAnsi="Segoe UI"/>
          <w:color w:val="0F172A"/>
          <w:sz w:val="21"/>
        </w:rPr>
        <w:t>Cuente físicamente los billetes y monedas disponibles en la gaveta asignada para dar vuelto.</w:t>
      </w:r>
    </w:p>
    <w:p>
      <w:pPr>
        <w:pStyle w:val="ListBullet"/>
        <w:spacing w:after="80" w:line="276" w:lineRule="auto"/>
      </w:pPr>
      <w:r>
        <w:rPr>
          <w:rFonts w:ascii="Segoe UI" w:hAnsi="Segoe UI"/>
          <w:b/>
          <w:color w:val="0F172A"/>
          <w:sz w:val="21"/>
        </w:rPr>
        <w:t xml:space="preserve">Registro de Fondo: </w:t>
      </w:r>
      <w:r>
        <w:rPr>
          <w:rFonts w:ascii="Segoe UI" w:hAnsi="Segoe UI"/>
          <w:color w:val="0F172A"/>
          <w:sz w:val="21"/>
        </w:rPr>
        <w:t>Ingrese el monto en Quetzales en el campo 'Monto inicial en efectivo'. Si no dispone de fondo, ingrese Q 0.00.</w:t>
      </w:r>
    </w:p>
    <w:p>
      <w:pPr>
        <w:pStyle w:val="ListBullet"/>
        <w:spacing w:after="80" w:line="276" w:lineRule="auto"/>
      </w:pPr>
      <w:r>
        <w:rPr>
          <w:rFonts w:ascii="Segoe UI" w:hAnsi="Segoe UI"/>
          <w:b/>
          <w:color w:val="0F172A"/>
          <w:sz w:val="21"/>
        </w:rPr>
        <w:t xml:space="preserve">Botón 'Abrir caja': </w:t>
      </w:r>
      <w:r>
        <w:rPr>
          <w:rFonts w:ascii="Segoe UI" w:hAnsi="Segoe UI"/>
          <w:color w:val="0F172A"/>
          <w:sz w:val="21"/>
        </w:rPr>
        <w:t>Al confirmar, el sistema cambiará el indicador a 'Caja abierta' y habilitará el botón de cobro en las órdenes.</w:t>
      </w:r>
    </w:p>
    <w:p>
      <w:r>
        <w:br w:type="page"/>
      </w:r>
    </w:p>
    <w:p>
      <w:pPr>
        <w:keepNext/>
        <w:spacing w:before="480" w:after="160"/>
      </w:pPr>
      <w:r>
        <w:rPr>
          <w:rFonts w:ascii="Segoe UI" w:hAnsi="Segoe UI"/>
          <w:b/>
          <w:color w:val="1E3A8A"/>
          <w:sz w:val="40"/>
        </w:rPr>
        <w:t>5. Dashboard de Caja (Resumen Operativo Diario)</w:t>
      </w:r>
    </w:p>
    <w:p>
      <w:pPr>
        <w:spacing w:after="120" w:line="276" w:lineRule="auto"/>
      </w:pPr>
      <w:r>
        <w:rPr>
          <w:rFonts w:ascii="Segoe UI" w:hAnsi="Segoe UI"/>
          <w:color w:val="0F172A"/>
          <w:sz w:val="21"/>
        </w:rPr>
        <w:t>La vista principal de Caja ('Inicio') presenta el resumen consolidado de la recaudación del día en tiempo real.</w:t>
      </w:r>
    </w:p>
    <w:p>
      <w:pPr>
        <w:keepNext/>
        <w:spacing w:before="16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caja_dashboard.png"/>
                    <pic:cNvPicPr/>
                  </pic:nvPicPr>
                  <pic:blipFill>
                    <a:blip r:embed="rId11"/>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2: Dashboard de Caja con métricas de cobro del día y tabla de últimos pagos.</w:t>
      </w:r>
    </w:p>
    <w:p>
      <w:pPr>
        <w:keepNext/>
        <w:spacing w:before="280" w:after="120"/>
      </w:pPr>
      <w:r>
        <w:rPr>
          <w:rFonts w:ascii="Segoe UI" w:hAnsi="Segoe UI"/>
          <w:b/>
          <w:color w:val="2563EB"/>
          <w:sz w:val="28"/>
        </w:rPr>
        <w:t>5.1 Métricas Clave de Recaudación</w:t>
      </w:r>
    </w:p>
    <w:p>
      <w:pPr>
        <w:pStyle w:val="ListBullet"/>
        <w:spacing w:after="80" w:line="276" w:lineRule="auto"/>
      </w:pPr>
      <w:r>
        <w:rPr>
          <w:rFonts w:ascii="Segoe UI" w:hAnsi="Segoe UI"/>
          <w:b/>
          <w:color w:val="0F172A"/>
          <w:sz w:val="21"/>
        </w:rPr>
        <w:t xml:space="preserve">Cobrado hoy: </w:t>
      </w:r>
      <w:r>
        <w:rPr>
          <w:rFonts w:ascii="Segoe UI" w:hAnsi="Segoe UI"/>
          <w:color w:val="0F172A"/>
          <w:sz w:val="21"/>
        </w:rPr>
        <w:t>Monto total acumulado recibido en el día sumando todos los métodos de pago.</w:t>
      </w:r>
    </w:p>
    <w:p>
      <w:pPr>
        <w:pStyle w:val="ListBullet"/>
        <w:spacing w:after="80" w:line="276" w:lineRule="auto"/>
      </w:pPr>
      <w:r>
        <w:rPr>
          <w:rFonts w:ascii="Segoe UI" w:hAnsi="Segoe UI"/>
          <w:b/>
          <w:color w:val="0F172A"/>
          <w:sz w:val="21"/>
        </w:rPr>
        <w:t xml:space="preserve">Pagos registrados: </w:t>
      </w:r>
      <w:r>
        <w:rPr>
          <w:rFonts w:ascii="Segoe UI" w:hAnsi="Segoe UI"/>
          <w:color w:val="0F172A"/>
          <w:sz w:val="21"/>
        </w:rPr>
        <w:t>Cantidad de recibos y cobros emitidos en la jornada.</w:t>
      </w:r>
    </w:p>
    <w:p>
      <w:pPr>
        <w:pStyle w:val="ListBullet"/>
        <w:spacing w:after="80" w:line="276" w:lineRule="auto"/>
      </w:pPr>
      <w:r>
        <w:rPr>
          <w:rFonts w:ascii="Segoe UI" w:hAnsi="Segoe UI"/>
          <w:b/>
          <w:color w:val="0F172A"/>
          <w:sz w:val="21"/>
        </w:rPr>
        <w:t xml:space="preserve">Órdenes con saldo: </w:t>
      </w:r>
      <w:r>
        <w:rPr>
          <w:rFonts w:ascii="Segoe UI" w:hAnsi="Segoe UI"/>
          <w:color w:val="0F172A"/>
          <w:sz w:val="21"/>
        </w:rPr>
        <w:t>Número de órdenes de trabajo que aún tienen saldo pendiente por cobrar a los clientes.</w:t>
      </w:r>
    </w:p>
    <w:p>
      <w:pPr>
        <w:pStyle w:val="ListBullet"/>
        <w:spacing w:after="80" w:line="276" w:lineRule="auto"/>
      </w:pPr>
      <w:r>
        <w:rPr>
          <w:rFonts w:ascii="Segoe UI" w:hAnsi="Segoe UI"/>
          <w:b/>
          <w:color w:val="0F172A"/>
          <w:sz w:val="21"/>
        </w:rPr>
        <w:t xml:space="preserve">Efectivo: </w:t>
      </w:r>
      <w:r>
        <w:rPr>
          <w:rFonts w:ascii="Segoe UI" w:hAnsi="Segoe UI"/>
          <w:color w:val="0F172A"/>
          <w:sz w:val="21"/>
        </w:rPr>
        <w:t>Total recaudado físicamente en moneda de curso legal (billetes y monedas).</w:t>
      </w:r>
    </w:p>
    <w:p>
      <w:pPr>
        <w:pStyle w:val="ListBullet"/>
        <w:spacing w:after="80" w:line="276" w:lineRule="auto"/>
      </w:pPr>
      <w:r>
        <w:rPr>
          <w:rFonts w:ascii="Segoe UI" w:hAnsi="Segoe UI"/>
          <w:b/>
          <w:color w:val="0F172A"/>
          <w:sz w:val="21"/>
        </w:rPr>
        <w:t xml:space="preserve">Transferencias: </w:t>
      </w:r>
      <w:r>
        <w:rPr>
          <w:rFonts w:ascii="Segoe UI" w:hAnsi="Segoe UI"/>
          <w:color w:val="0F172A"/>
          <w:sz w:val="21"/>
        </w:rPr>
        <w:t>Total percibido mediante transferencias o depósitos bancarios verificados.</w:t>
      </w:r>
    </w:p>
    <w:p>
      <w:pPr>
        <w:pStyle w:val="ListBullet"/>
        <w:spacing w:after="80" w:line="276" w:lineRule="auto"/>
      </w:pPr>
      <w:r>
        <w:rPr>
          <w:rFonts w:ascii="Segoe UI" w:hAnsi="Segoe UI"/>
          <w:b/>
          <w:color w:val="0F172A"/>
          <w:sz w:val="21"/>
        </w:rPr>
        <w:t xml:space="preserve">Otros métodos: </w:t>
      </w:r>
      <w:r>
        <w:rPr>
          <w:rFonts w:ascii="Segoe UI" w:hAnsi="Segoe UI"/>
          <w:color w:val="0F172A"/>
          <w:sz w:val="21"/>
        </w:rPr>
        <w:t>Ingresos correspondientes a tarjetas de crédito, débito o cheques.</w:t>
      </w:r>
    </w:p>
    <w:p>
      <w:pPr>
        <w:keepNext/>
        <w:spacing w:before="280" w:after="120"/>
      </w:pPr>
      <w:r>
        <w:rPr>
          <w:rFonts w:ascii="Segoe UI" w:hAnsi="Segoe UI"/>
          <w:b/>
          <w:color w:val="2563EB"/>
          <w:sz w:val="28"/>
        </w:rPr>
        <w:t>5.2 Tabla de Últimos Pagos</w:t>
      </w:r>
    </w:p>
    <w:p>
      <w:pPr>
        <w:spacing w:after="120" w:line="276" w:lineRule="auto"/>
      </w:pPr>
      <w:r>
        <w:rPr>
          <w:rFonts w:ascii="Segoe UI" w:hAnsi="Segoe UI"/>
          <w:color w:val="0F172A"/>
          <w:sz w:val="21"/>
        </w:rPr>
        <w:t>Muestra los cobros más recientes con fecha, código de orden (OT), nombre del cliente, método de pago, referencia bancaria, nombre del cajero y el monto en Quetzales resaltado en verde.</w:t>
      </w:r>
    </w:p>
    <w:p>
      <w:pPr>
        <w:keepNext/>
        <w:spacing w:before="480" w:after="160"/>
      </w:pPr>
      <w:r>
        <w:rPr>
          <w:rFonts w:ascii="Segoe UI" w:hAnsi="Segoe UI"/>
          <w:b/>
          <w:color w:val="1E3A8A"/>
          <w:sz w:val="40"/>
        </w:rPr>
        <w:t>6. Módulo de Cobros y Órdenes de Trabajo</w:t>
      </w:r>
    </w:p>
    <w:p>
      <w:pPr>
        <w:spacing w:after="120" w:line="276" w:lineRule="auto"/>
      </w:pPr>
      <w:r>
        <w:rPr>
          <w:rFonts w:ascii="Segoe UI" w:hAnsi="Segoe UI"/>
          <w:color w:val="0F172A"/>
          <w:sz w:val="21"/>
        </w:rPr>
        <w:t>Para gestionar los saldos y cobrar a los clientes, seleccione 'Cobros' en el menú lateral.</w:t>
      </w:r>
    </w:p>
    <w:p>
      <w:pPr>
        <w:keepNext/>
        <w:spacing w:before="16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cobros_ordenes.png"/>
                    <pic:cNvPicPr/>
                  </pic:nvPicPr>
                  <pic:blipFill>
                    <a:blip r:embed="rId12"/>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3: Listado de órdenes de trabajo con saldos pendientes y opciones de cobro.</w:t>
      </w:r>
    </w:p>
    <w:p>
      <w:pPr>
        <w:keepNext/>
        <w:spacing w:before="280" w:after="120"/>
      </w:pPr>
      <w:r>
        <w:rPr>
          <w:rFonts w:ascii="Segoe UI" w:hAnsi="Segoe UI"/>
          <w:b/>
          <w:color w:val="2563EB"/>
          <w:sz w:val="28"/>
        </w:rPr>
        <w:t>6.1 Columnas Informativas</w:t>
      </w:r>
    </w:p>
    <w:p>
      <w:pPr>
        <w:pStyle w:val="ListBullet"/>
        <w:spacing w:after="80" w:line="276" w:lineRule="auto"/>
      </w:pPr>
      <w:r>
        <w:rPr>
          <w:rFonts w:ascii="Segoe UI" w:hAnsi="Segoe UI"/>
          <w:b/>
          <w:color w:val="0F172A"/>
          <w:sz w:val="21"/>
        </w:rPr>
        <w:t xml:space="preserve">Orden / Cliente: </w:t>
      </w:r>
      <w:r>
        <w:rPr>
          <w:rFonts w:ascii="Segoe UI" w:hAnsi="Segoe UI"/>
          <w:color w:val="0F172A"/>
          <w:sz w:val="21"/>
        </w:rPr>
        <w:t>Código de orden de trabajo (OT-XXXX) y nombre completo del propietario.</w:t>
      </w:r>
    </w:p>
    <w:p>
      <w:pPr>
        <w:pStyle w:val="ListBullet"/>
        <w:spacing w:after="80" w:line="276" w:lineRule="auto"/>
      </w:pPr>
      <w:r>
        <w:rPr>
          <w:rFonts w:ascii="Segoe UI" w:hAnsi="Segoe UI"/>
          <w:b/>
          <w:color w:val="0F172A"/>
          <w:sz w:val="21"/>
        </w:rPr>
        <w:t xml:space="preserve">Total aprobado: </w:t>
      </w:r>
      <w:r>
        <w:rPr>
          <w:rFonts w:ascii="Segoe UI" w:hAnsi="Segoe UI"/>
          <w:color w:val="0F172A"/>
          <w:sz w:val="21"/>
        </w:rPr>
        <w:t>Presupuesto formal acordado para el servicio incluyendo mano de obra y repuestos.</w:t>
      </w:r>
    </w:p>
    <w:p>
      <w:pPr>
        <w:pStyle w:val="ListBullet"/>
        <w:spacing w:after="80" w:line="276" w:lineRule="auto"/>
      </w:pPr>
      <w:r>
        <w:rPr>
          <w:rFonts w:ascii="Segoe UI" w:hAnsi="Segoe UI"/>
          <w:b/>
          <w:color w:val="0F172A"/>
          <w:sz w:val="21"/>
        </w:rPr>
        <w:t xml:space="preserve">Pagado: </w:t>
      </w:r>
      <w:r>
        <w:rPr>
          <w:rFonts w:ascii="Segoe UI" w:hAnsi="Segoe UI"/>
          <w:color w:val="0F172A"/>
          <w:sz w:val="21"/>
        </w:rPr>
        <w:t>Suma acumulada de abonos y pagos previos aplicados a la orden.</w:t>
      </w:r>
    </w:p>
    <w:p>
      <w:pPr>
        <w:pStyle w:val="ListBullet"/>
        <w:spacing w:after="80" w:line="276" w:lineRule="auto"/>
      </w:pPr>
      <w:r>
        <w:rPr>
          <w:rFonts w:ascii="Segoe UI" w:hAnsi="Segoe UI"/>
          <w:b/>
          <w:color w:val="0F172A"/>
          <w:sz w:val="21"/>
        </w:rPr>
        <w:t xml:space="preserve">Saldo pendiente: </w:t>
      </w:r>
      <w:r>
        <w:rPr>
          <w:rFonts w:ascii="Segoe UI" w:hAnsi="Segoe UI"/>
          <w:color w:val="0F172A"/>
          <w:sz w:val="21"/>
        </w:rPr>
        <w:t>Diferencia exacta por pagar antes de que el motor pueda ser retirado del taller.</w:t>
      </w:r>
    </w:p>
    <w:p>
      <w:pPr>
        <w:pStyle w:val="ListBullet"/>
        <w:spacing w:after="80" w:line="276" w:lineRule="auto"/>
      </w:pPr>
      <w:r>
        <w:rPr>
          <w:rFonts w:ascii="Segoe UI" w:hAnsi="Segoe UI"/>
          <w:b/>
          <w:color w:val="0F172A"/>
          <w:sz w:val="21"/>
        </w:rPr>
        <w:t xml:space="preserve">Estado del pago: </w:t>
      </w:r>
      <w:r>
        <w:rPr>
          <w:rFonts w:ascii="Segoe UI" w:hAnsi="Segoe UI"/>
          <w:color w:val="0F172A"/>
          <w:sz w:val="21"/>
        </w:rPr>
        <w:t>Informativo: 'Por cobrar' (sin abonos), 'Abono registrado' o 'Pagado' (saldo cero).</w:t>
      </w:r>
    </w:p>
    <w:p>
      <w:pPr>
        <w:pStyle w:val="ListBullet"/>
        <w:spacing w:after="80" w:line="276" w:lineRule="auto"/>
      </w:pPr>
      <w:r>
        <w:rPr>
          <w:rFonts w:ascii="Segoe UI" w:hAnsi="Segoe UI"/>
          <w:b/>
          <w:color w:val="0F172A"/>
          <w:sz w:val="21"/>
        </w:rPr>
        <w:t xml:space="preserve">Estado del trabajo: </w:t>
      </w:r>
      <w:r>
        <w:rPr>
          <w:rFonts w:ascii="Segoe UI" w:hAnsi="Segoe UI"/>
          <w:color w:val="0F172A"/>
          <w:sz w:val="21"/>
        </w:rPr>
        <w:t>Estado mecánico: Pendiente, En proceso o Finalizado.</w:t>
      </w:r>
    </w:p>
    <w:p>
      <w:r>
        <w:br w:type="page"/>
      </w:r>
    </w:p>
    <w:p>
      <w:pPr>
        <w:keepNext/>
        <w:spacing w:before="480" w:after="160"/>
      </w:pPr>
      <w:r>
        <w:rPr>
          <w:rFonts w:ascii="Segoe UI" w:hAnsi="Segoe UI"/>
          <w:b/>
          <w:color w:val="1E3A8A"/>
          <w:sz w:val="40"/>
        </w:rPr>
        <w:t>7. Resumen Técnico y Desglose Económico Previo al Cobro</w:t>
      </w:r>
    </w:p>
    <w:p>
      <w:pPr>
        <w:spacing w:after="120" w:line="276" w:lineRule="auto"/>
      </w:pPr>
      <w:r>
        <w:rPr>
          <w:rFonts w:ascii="Segoe UI" w:hAnsi="Segoe UI"/>
          <w:color w:val="0F172A"/>
          <w:sz w:val="21"/>
        </w:rPr>
        <w:t>Antes de solicitar el dinero al cliente, el cajero puede hacer clic en el botón 'Resumen' o sobre el código de la orden. Esto desplegará el modal interactivo con el desglose integral del servicio.</w:t>
      </w:r>
    </w:p>
    <w:p>
      <w:pPr>
        <w:keepNext/>
        <w:spacing w:before="16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resumen_orden_modal.png"/>
                    <pic:cNvPicPr/>
                  </pic:nvPicPr>
                  <pic:blipFill>
                    <a:blip r:embed="rId13"/>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4: Modal de resumen con desglose de motor, repuestos aprobados y pagos.</w:t>
      </w:r>
    </w:p>
    <w:p>
      <w:pPr>
        <w:spacing w:after="120" w:line="276" w:lineRule="auto"/>
      </w:pPr>
      <w:r>
        <w:rPr>
          <w:rFonts w:ascii="Segoe UI" w:hAnsi="Segoe UI"/>
          <w:color w:val="0F172A"/>
          <w:sz w:val="21"/>
        </w:rPr>
        <w:t>Esta vista permite explicar con total transparencia al cliente por qué se le está cobrando dicho importe:</w:t>
        <w:br/>
        <w:t>• Datos del motor: Marca, modelo, serie y tipo de servicio realizado.</w:t>
        <w:br/>
        <w:t>• Repuestos incluidos en el total: Muestra cada repuesto despachado por bodega con su cantidad y precio unitario aprobado.</w:t>
        <w:br/>
        <w:t>• Historial de pagos: Fechas y montos de los abonos previos realizados por el cliente.</w:t>
      </w:r>
    </w:p>
    <w:p>
      <w:pPr>
        <w:keepNext/>
        <w:spacing w:before="480" w:after="160"/>
      </w:pPr>
      <w:r>
        <w:rPr>
          <w:rFonts w:ascii="Segoe UI" w:hAnsi="Segoe UI"/>
          <w:b/>
          <w:color w:val="1E3A8A"/>
          <w:sz w:val="40"/>
        </w:rPr>
        <w:t>8. Procedimiento para Registrar Pagos y Abonos</w:t>
      </w:r>
    </w:p>
    <w:p>
      <w:pPr>
        <w:spacing w:after="120" w:line="276" w:lineRule="auto"/>
      </w:pPr>
      <w:r>
        <w:rPr>
          <w:rFonts w:ascii="Segoe UI" w:hAnsi="Segoe UI"/>
          <w:color w:val="0F172A"/>
          <w:sz w:val="21"/>
        </w:rPr>
        <w:t>Cuando el cliente procede a cancelar o abonar, haga clic en el botón azul 'Cobrar'. Se abrirá el modal de cobro seguro:</w:t>
      </w:r>
    </w:p>
    <w:p>
      <w:pPr>
        <w:keepNext/>
        <w:spacing w:before="16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registrar_pago_modal.png"/>
                    <pic:cNvPicPr/>
                  </pic:nvPicPr>
                  <pic:blipFill>
                    <a:blip r:embed="rId14"/>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5: Modal de registro de pago con atajo de saldo completo y cálculo en vivo.</w:t>
      </w:r>
    </w:p>
    <w:p>
      <w:pPr>
        <w:keepNext/>
        <w:spacing w:before="280" w:after="120"/>
      </w:pPr>
      <w:r>
        <w:rPr>
          <w:rFonts w:ascii="Segoe UI" w:hAnsi="Segoe UI"/>
          <w:b/>
          <w:color w:val="2563EB"/>
          <w:sz w:val="28"/>
        </w:rPr>
        <w:t>8.1 Paso a Paso para Aplicar el Pago</w:t>
      </w:r>
    </w:p>
    <w:p>
      <w:pPr>
        <w:pStyle w:val="ListBullet"/>
        <w:spacing w:after="80" w:line="276" w:lineRule="auto"/>
      </w:pPr>
      <w:r>
        <w:rPr>
          <w:rFonts w:ascii="Segoe UI" w:hAnsi="Segoe UI"/>
          <w:b/>
          <w:color w:val="0F172A"/>
          <w:sz w:val="21"/>
        </w:rPr>
        <w:t xml:space="preserve">Paso 1: Monto a Cobrar: </w:t>
      </w:r>
      <w:r>
        <w:rPr>
          <w:rFonts w:ascii="Segoe UI" w:hAnsi="Segoe UI"/>
          <w:color w:val="0F172A"/>
          <w:sz w:val="21"/>
        </w:rPr>
        <w:t>Ingrese el monto que el cliente entrega. El sistema valida automáticamente que no sea mayor al saldo pendiente.</w:t>
      </w:r>
    </w:p>
    <w:p>
      <w:pPr>
        <w:pStyle w:val="ListBullet"/>
        <w:spacing w:after="80" w:line="276" w:lineRule="auto"/>
      </w:pPr>
      <w:r>
        <w:rPr>
          <w:rFonts w:ascii="Segoe UI" w:hAnsi="Segoe UI"/>
          <w:b/>
          <w:color w:val="0F172A"/>
          <w:sz w:val="21"/>
        </w:rPr>
        <w:t xml:space="preserve">Atajo 'Cobrar saldo completo': </w:t>
      </w:r>
      <w:r>
        <w:rPr>
          <w:rFonts w:ascii="Segoe UI" w:hAnsi="Segoe UI"/>
          <w:color w:val="0F172A"/>
          <w:sz w:val="21"/>
        </w:rPr>
        <w:t>Haga clic en el enlace 'Cobrar saldo completo' si el cliente liquidará la totalidad de la deuda.</w:t>
      </w:r>
    </w:p>
    <w:p>
      <w:pPr>
        <w:pStyle w:val="ListBullet"/>
        <w:spacing w:after="80" w:line="276" w:lineRule="auto"/>
      </w:pPr>
      <w:r>
        <w:rPr>
          <w:rFonts w:ascii="Segoe UI" w:hAnsi="Segoe UI"/>
          <w:b/>
          <w:color w:val="0F172A"/>
          <w:sz w:val="21"/>
        </w:rPr>
        <w:t xml:space="preserve">Paso 2: Selección del Método de Pago: </w:t>
      </w:r>
      <w:r>
        <w:rPr>
          <w:rFonts w:ascii="Segoe UI" w:hAnsi="Segoe UI"/>
          <w:color w:val="0F172A"/>
          <w:sz w:val="21"/>
        </w:rPr>
        <w:t>Seleccione entre Efectivo, Transferencia, Tarjeta u Otro.</w:t>
      </w:r>
    </w:p>
    <w:p>
      <w:pPr>
        <w:pStyle w:val="ListBullet"/>
        <w:spacing w:after="80" w:line="276" w:lineRule="auto"/>
      </w:pPr>
      <w:r>
        <w:rPr>
          <w:rFonts w:ascii="Segoe UI" w:hAnsi="Segoe UI"/>
          <w:b/>
          <w:color w:val="0F172A"/>
          <w:sz w:val="21"/>
        </w:rPr>
        <w:t xml:space="preserve">Paso 3: Validación de Transferencias: </w:t>
      </w:r>
      <w:r>
        <w:rPr>
          <w:rFonts w:ascii="Segoe UI" w:hAnsi="Segoe UI"/>
          <w:color w:val="0F172A"/>
          <w:sz w:val="21"/>
        </w:rPr>
        <w:t>Si selecciona 'Transferencia', el campo 'Referencia bancaria' se vuelve estrictamente obligatorio para ingresar el número de boleta o autorización.</w:t>
      </w:r>
    </w:p>
    <w:p>
      <w:pPr>
        <w:pStyle w:val="ListBullet"/>
        <w:spacing w:after="80" w:line="276" w:lineRule="auto"/>
      </w:pPr>
      <w:r>
        <w:rPr>
          <w:rFonts w:ascii="Segoe UI" w:hAnsi="Segoe UI"/>
          <w:b/>
          <w:color w:val="0F172A"/>
          <w:sz w:val="21"/>
        </w:rPr>
        <w:t xml:space="preserve">Paso 4: Notas / Observaciones: </w:t>
      </w:r>
      <w:r>
        <w:rPr>
          <w:rFonts w:ascii="Segoe UI" w:hAnsi="Segoe UI"/>
          <w:color w:val="0F172A"/>
          <w:sz w:val="21"/>
        </w:rPr>
        <w:t>Campo opcional para asentar detalles adicionales (ej. 'Pago con 2 cheques', 'Abono anticipado de 50%').</w:t>
      </w:r>
    </w:p>
    <w:p>
      <w:pPr>
        <w:pStyle w:val="ListBullet"/>
        <w:spacing w:after="80" w:line="276" w:lineRule="auto"/>
      </w:pPr>
      <w:r>
        <w:rPr>
          <w:rFonts w:ascii="Segoe UI" w:hAnsi="Segoe UI"/>
          <w:b/>
          <w:color w:val="0F172A"/>
          <w:sz w:val="21"/>
        </w:rPr>
        <w:t xml:space="preserve">Paso 5: Previsualización en Vivo: </w:t>
      </w:r>
      <w:r>
        <w:rPr>
          <w:rFonts w:ascii="Segoe UI" w:hAnsi="Segoe UI"/>
          <w:color w:val="0F172A"/>
          <w:sz w:val="21"/>
        </w:rPr>
        <w:t>El recuadro verde confirma el monto a cobrar y el saldo restante que quedará tras la operación.</w:t>
      </w:r>
    </w:p>
    <w:p>
      <w:pPr>
        <w:pStyle w:val="ListBullet"/>
        <w:spacing w:after="80" w:line="276" w:lineRule="auto"/>
      </w:pPr>
      <w:r>
        <w:rPr>
          <w:rFonts w:ascii="Segoe UI" w:hAnsi="Segoe UI"/>
          <w:b/>
          <w:color w:val="0F172A"/>
          <w:sz w:val="21"/>
        </w:rPr>
        <w:t xml:space="preserve">Paso 6: Confirmación: </w:t>
      </w:r>
      <w:r>
        <w:rPr>
          <w:rFonts w:ascii="Segoe UI" w:hAnsi="Segoe UI"/>
          <w:color w:val="0F172A"/>
          <w:sz w:val="21"/>
        </w:rPr>
        <w:t>Presione el botón 'Confirmar Q XXX.XX'. El pago se asienta de inmediato y el saldo de la orden se actualiza.</w:t>
      </w:r>
    </w:p>
    <w:tbl>
      <w:tblPr>
        <w:tblW w:type="auto" w:w="0"/>
        <w:jc w:val="center"/>
        <w:tblLook w:firstColumn="1" w:firstRow="1" w:lastColumn="0" w:lastRow="0" w:noHBand="0" w:noVBand="1" w:val="04A0"/>
      </w:tblPr>
      <w:tblGrid>
        <w:gridCol w:w="9360"/>
      </w:tblGrid>
      <w:tr>
        <w:tc>
          <w:tcPr>
            <w:tcW w:type="dxa" w:w="9360"/>
            <w:shd w:fill="F0FDF4"/>
            <w:tcBorders>
              <w:top w:val="none"/>
              <w:left w:val="single" w:sz="24" w:space="0" w:color="059669"/>
              <w:bottom w:val="none"/>
              <w:right w:val="none"/>
            </w:tcBorders>
          </w:tcPr>
          <w:p>
            <w:pPr>
              <w:spacing w:before="120" w:after="40"/>
            </w:pPr>
            <w:r>
              <w:rPr>
                <w:rFonts w:ascii="Segoe UI" w:hAnsi="Segoe UI"/>
                <w:b/>
                <w:color w:val="059669"/>
                <w:sz w:val="21"/>
              </w:rPr>
              <w:t xml:space="preserve">✅ Blindaje de Cálculos: </w:t>
            </w:r>
            <w:r>
              <w:rPr>
                <w:rFonts w:ascii="Segoe UI" w:hAnsi="Segoe UI"/>
                <w:color w:val="0F172A"/>
                <w:sz w:val="20"/>
              </w:rPr>
              <w:t>El sistema no permite ingresar montos negativos, montos con más de dos decimales ni cantidades que excedan el saldo pendiente. Esto garantiza que nunca se cobre de más ni se generen saldos negativos.</w:t>
            </w:r>
          </w:p>
        </w:tc>
      </w:tr>
    </w:tbl>
    <w:p>
      <w:pPr>
        <w:spacing w:before="80" w:after="80"/>
      </w:pPr>
    </w:p>
    <w:p>
      <w:r>
        <w:br w:type="page"/>
      </w:r>
    </w:p>
    <w:p>
      <w:pPr>
        <w:keepNext/>
        <w:spacing w:before="480" w:after="160"/>
      </w:pPr>
      <w:r>
        <w:rPr>
          <w:rFonts w:ascii="Segoe UI" w:hAnsi="Segoe UI"/>
          <w:b/>
          <w:color w:val="1E3A8A"/>
          <w:sz w:val="40"/>
        </w:rPr>
        <w:t>9. Historial General de Pagos</w:t>
      </w:r>
    </w:p>
    <w:p>
      <w:pPr>
        <w:spacing w:after="120" w:line="276" w:lineRule="auto"/>
      </w:pPr>
      <w:r>
        <w:rPr>
          <w:rFonts w:ascii="Segoe UI" w:hAnsi="Segoe UI"/>
          <w:color w:val="0F172A"/>
          <w:sz w:val="21"/>
        </w:rPr>
        <w:t>En la sección 'Historial de pagos' se archivan todos los recibos y comprobantes de ingreso cobrados en el taller.</w:t>
      </w:r>
    </w:p>
    <w:p>
      <w:pPr>
        <w:keepNext/>
        <w:spacing w:before="16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historial_pagos.png"/>
                    <pic:cNvPicPr/>
                  </pic:nvPicPr>
                  <pic:blipFill>
                    <a:blip r:embed="rId15"/>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6: Bitácora cronológica de pagos recibidos con referencias bancarias.</w:t>
      </w:r>
    </w:p>
    <w:p>
      <w:pPr>
        <w:spacing w:after="120" w:line="276" w:lineRule="auto"/>
      </w:pPr>
      <w:r>
        <w:rPr>
          <w:rFonts w:ascii="Segoe UI" w:hAnsi="Segoe UI"/>
          <w:color w:val="0F172A"/>
          <w:sz w:val="21"/>
        </w:rPr>
        <w:t>Permite buscar cobros antiguos, verificar referencias de depósitos en estados de cuenta bancarios o resolver aclaraciones con clientes mostrando la fecha y hora exacta en que se registró su pago.</w:t>
      </w:r>
    </w:p>
    <w:p>
      <w:pPr>
        <w:keepNext/>
        <w:spacing w:before="480" w:after="160"/>
      </w:pPr>
      <w:r>
        <w:rPr>
          <w:rFonts w:ascii="Segoe UI" w:hAnsi="Segoe UI"/>
          <w:b/>
          <w:color w:val="1E3A8A"/>
          <w:sz w:val="40"/>
        </w:rPr>
        <w:t>10. Arqueo y Cierre de Turno de Caja</w:t>
      </w:r>
    </w:p>
    <w:p>
      <w:pPr>
        <w:spacing w:after="120" w:line="276" w:lineRule="auto"/>
      </w:pPr>
      <w:r>
        <w:rPr>
          <w:rFonts w:ascii="Segoe UI" w:hAnsi="Segoe UI"/>
          <w:color w:val="0F172A"/>
          <w:sz w:val="21"/>
        </w:rPr>
        <w:t>Al finalizar el turno de trabajo, el cajero debe realizar el arqueo físico de la gaveta de dinero en 'Cierre de caja'.</w:t>
      </w:r>
    </w:p>
    <w:p>
      <w:pPr>
        <w:keepNext/>
        <w:spacing w:before="16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cierre_arqueo_caja.png"/>
                    <pic:cNvPicPr/>
                  </pic:nvPicPr>
                  <pic:blipFill>
                    <a:blip r:embed="rId16"/>
                    <a:stretch>
                      <a:fillRect/>
                    </a:stretch>
                  </pic:blipFill>
                  <pic:spPr>
                    <a:xfrm>
                      <a:off x="0" y="0"/>
                      <a:ext cx="5669280" cy="3543300"/>
                    </a:xfrm>
                    <a:prstGeom prst="rect"/>
                  </pic:spPr>
                </pic:pic>
              </a:graphicData>
            </a:graphic>
          </wp:inline>
        </w:drawing>
      </w:r>
    </w:p>
    <w:p>
      <w:pPr>
        <w:spacing w:before="40" w:after="240"/>
        <w:jc w:val="center"/>
      </w:pPr>
      <w:r>
        <w:rPr>
          <w:rFonts w:ascii="Segoe UI" w:hAnsi="Segoe UI"/>
          <w:i/>
          <w:color w:val="475569"/>
          <w:sz w:val="18"/>
        </w:rPr>
        <w:t>Figura 7: Módulo de arqueo y cierre de turno con cálculo de diferencias.</w:t>
      </w:r>
    </w:p>
    <w:p>
      <w:pPr>
        <w:keepNext/>
        <w:spacing w:before="280" w:after="120"/>
      </w:pPr>
      <w:r>
        <w:rPr>
          <w:rFonts w:ascii="Segoe UI" w:hAnsi="Segoe UI"/>
          <w:b/>
          <w:color w:val="2563EB"/>
          <w:sz w:val="28"/>
        </w:rPr>
        <w:t>10.1 Cálculo del Efectivo Esperado</w:t>
      </w:r>
    </w:p>
    <w:p>
      <w:pPr>
        <w:spacing w:after="120" w:line="276" w:lineRule="auto"/>
      </w:pPr>
      <w:r>
        <w:rPr>
          <w:rFonts w:ascii="Segoe UI" w:hAnsi="Segoe UI"/>
          <w:color w:val="0F172A"/>
          <w:sz w:val="21"/>
        </w:rPr>
        <w:t>El sistema calcula automáticamente el dinero físico que debe existir en la gaveta mediante la fórmula:</w:t>
        <w:br/>
        <w:t>Efectivo Esperado = Fondo Inicial de Apertura + Total de Cobros en Efectivo del Turno</w:t>
        <w:br/>
        <w:t>(Nota: Los pagos por transferencia y tarjeta no se suman al efectivo físico esperado).</w:t>
      </w:r>
    </w:p>
    <w:p>
      <w:pPr>
        <w:keepNext/>
        <w:spacing w:before="280" w:after="120"/>
      </w:pPr>
      <w:r>
        <w:rPr>
          <w:rFonts w:ascii="Segoe UI" w:hAnsi="Segoe UI"/>
          <w:b/>
          <w:color w:val="2563EB"/>
          <w:sz w:val="28"/>
        </w:rPr>
        <w:t>10.2 Conteo Físico y Diferencias</w:t>
      </w:r>
    </w:p>
    <w:p>
      <w:pPr>
        <w:spacing w:after="120" w:line="276" w:lineRule="auto"/>
      </w:pPr>
      <w:r>
        <w:rPr>
          <w:rFonts w:ascii="Segoe UI" w:hAnsi="Segoe UI"/>
          <w:color w:val="0F172A"/>
          <w:sz w:val="21"/>
        </w:rPr>
        <w:t>El cajero cuenta físicamente el dinero e introduce la cifra en 'Efectivo contado al cierre'. El sistema evalúa inmediatamente el balance:</w:t>
      </w:r>
    </w:p>
    <w:p>
      <w:pPr>
        <w:pStyle w:val="ListBullet"/>
        <w:spacing w:after="80" w:line="276" w:lineRule="auto"/>
      </w:pPr>
      <w:r>
        <w:rPr>
          <w:rFonts w:ascii="Segoe UI" w:hAnsi="Segoe UI"/>
          <w:b/>
          <w:color w:val="0F172A"/>
          <w:sz w:val="21"/>
        </w:rPr>
        <w:t xml:space="preserve">Caja cuadrada (Verde): </w:t>
      </w:r>
      <w:r>
        <w:rPr>
          <w:rFonts w:ascii="Segoe UI" w:hAnsi="Segoe UI"/>
          <w:color w:val="0F172A"/>
          <w:sz w:val="21"/>
        </w:rPr>
        <w:t>El efectivo contado es exactamente igual al esperado (Diferencia: Q 0.00).</w:t>
      </w:r>
    </w:p>
    <w:p>
      <w:pPr>
        <w:pStyle w:val="ListBullet"/>
        <w:spacing w:after="80" w:line="276" w:lineRule="auto"/>
      </w:pPr>
      <w:r>
        <w:rPr>
          <w:rFonts w:ascii="Segoe UI" w:hAnsi="Segoe UI"/>
          <w:b/>
          <w:color w:val="0F172A"/>
          <w:sz w:val="21"/>
        </w:rPr>
        <w:t xml:space="preserve">Sobrante de efectivo (Ámbar): </w:t>
      </w:r>
      <w:r>
        <w:rPr>
          <w:rFonts w:ascii="Segoe UI" w:hAnsi="Segoe UI"/>
          <w:color w:val="0F172A"/>
          <w:sz w:val="21"/>
        </w:rPr>
        <w:t>Hay más dinero en físico que en los recibos emitidos.</w:t>
      </w:r>
    </w:p>
    <w:p>
      <w:pPr>
        <w:pStyle w:val="ListBullet"/>
        <w:spacing w:after="80" w:line="276" w:lineRule="auto"/>
      </w:pPr>
      <w:r>
        <w:rPr>
          <w:rFonts w:ascii="Segoe UI" w:hAnsi="Segoe UI"/>
          <w:b/>
          <w:color w:val="0F172A"/>
          <w:sz w:val="21"/>
        </w:rPr>
        <w:t xml:space="preserve">Faltante de efectivo (Ámbar): </w:t>
      </w:r>
      <w:r>
        <w:rPr>
          <w:rFonts w:ascii="Segoe UI" w:hAnsi="Segoe UI"/>
          <w:color w:val="0F172A"/>
          <w:sz w:val="21"/>
        </w:rPr>
        <w:t>Falta dinero físico frente a lo registrado en sistema.</w:t>
      </w:r>
    </w:p>
    <w:p>
      <w:pPr>
        <w:keepNext/>
        <w:spacing w:before="280" w:after="120"/>
      </w:pPr>
      <w:r>
        <w:rPr>
          <w:rFonts w:ascii="Segoe UI" w:hAnsi="Segoe UI"/>
          <w:b/>
          <w:color w:val="2563EB"/>
          <w:sz w:val="28"/>
        </w:rPr>
        <w:t>10.3 Observaciones y Cierre Definitivo</w:t>
      </w:r>
    </w:p>
    <w:p>
      <w:pPr>
        <w:spacing w:after="120" w:line="276" w:lineRule="auto"/>
      </w:pPr>
      <w:r>
        <w:rPr>
          <w:rFonts w:ascii="Segoe UI" w:hAnsi="Segoe UI"/>
          <w:color w:val="0F172A"/>
          <w:sz w:val="21"/>
        </w:rPr>
        <w:t>Si existe cualquier diferencia (sobrante o faltante), el campo 'Observaciones' se vuelve obligatorio para que el cajero documente la justificación antes de que el sistema le permita cerrar. Al presionar 'Confirmar cierre de caja', el turno queda sellado e inmutable para auditoría.</w:t>
      </w:r>
    </w:p>
    <w:p>
      <w:pPr>
        <w:keepNext/>
        <w:spacing w:before="480" w:after="160"/>
      </w:pPr>
      <w:r>
        <w:rPr>
          <w:rFonts w:ascii="Segoe UI" w:hAnsi="Segoe UI"/>
          <w:b/>
          <w:color w:val="1E3A8A"/>
          <w:sz w:val="40"/>
        </w:rPr>
        <w:t>11. Políticas de Seguridad y Preguntas Frecuentes</w:t>
      </w:r>
    </w:p>
    <w:p>
      <w:pPr>
        <w:keepNext/>
        <w:spacing w:before="280" w:after="120"/>
      </w:pPr>
      <w:r>
        <w:rPr>
          <w:rFonts w:ascii="Segoe UI" w:hAnsi="Segoe UI"/>
          <w:b/>
          <w:color w:val="2563EB"/>
          <w:sz w:val="28"/>
        </w:rPr>
        <w:t>¿Puede entregarse un motor con saldo pendiente?</w:t>
      </w:r>
    </w:p>
    <w:p>
      <w:pPr>
        <w:spacing w:after="120" w:line="276" w:lineRule="auto"/>
      </w:pPr>
      <w:r>
        <w:rPr>
          <w:rFonts w:ascii="Segoe UI" w:hAnsi="Segoe UI"/>
          <w:color w:val="0F172A"/>
          <w:sz w:val="21"/>
        </w:rPr>
        <w:t>La política general del taller establece que ningún motor debe ser retirado si su estado de pago es 'Por cobrar' o 'Abono registrado'. Solo motores con estado 'Pagado' (saldo Q 0.00) están autorizados para despacho, salvo autorización expresa de Gerencia.</w:t>
      </w:r>
    </w:p>
    <w:p>
      <w:pPr>
        <w:keepNext/>
        <w:spacing w:before="280" w:after="120"/>
      </w:pPr>
      <w:r>
        <w:rPr>
          <w:rFonts w:ascii="Segoe UI" w:hAnsi="Segoe UI"/>
          <w:b/>
          <w:color w:val="2563EB"/>
          <w:sz w:val="28"/>
        </w:rPr>
        <w:t>¿Qué hacer si un cliente afirma haber transferido pero no aparece en banco?</w:t>
      </w:r>
    </w:p>
    <w:p>
      <w:pPr>
        <w:spacing w:after="120" w:line="276" w:lineRule="auto"/>
      </w:pPr>
      <w:r>
        <w:rPr>
          <w:rFonts w:ascii="Segoe UI" w:hAnsi="Segoe UI"/>
          <w:color w:val="0F172A"/>
          <w:sz w:val="21"/>
        </w:rPr>
        <w:t>No confirme el pago en el sistema hasta que la transferencia esté acreditada o se cuente con la boleta sellada y legible para anotar el número de referencia exacto.</w:t>
      </w:r>
    </w:p>
    <w:p>
      <w:pPr>
        <w:keepNext/>
        <w:spacing w:before="280" w:after="120"/>
      </w:pPr>
      <w:r>
        <w:rPr>
          <w:rFonts w:ascii="Segoe UI" w:hAnsi="Segoe UI"/>
          <w:b/>
          <w:color w:val="2563EB"/>
          <w:sz w:val="28"/>
        </w:rPr>
        <w:t>¿Qué sucede si cierro caja y luego llega un cliente de último minuto?</w:t>
      </w:r>
    </w:p>
    <w:p>
      <w:pPr>
        <w:spacing w:after="120" w:line="276" w:lineRule="auto"/>
      </w:pPr>
      <w:r>
        <w:rPr>
          <w:rFonts w:ascii="Segoe UI" w:hAnsi="Segoe UI"/>
          <w:color w:val="0F172A"/>
          <w:sz w:val="21"/>
        </w:rPr>
        <w:t>Una vez cerrada la caja, el turno concluye formalmente. Si debe cobrar nuevamente, inicie un nuevo turno con apertura formal registrando el fondo correspondiente.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8"/>
      </w:rPr>
      <w:t xml:space="preserve">Sistema de Reconstrucción de Motores · Manual de Caja | Página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