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Programa académico de Big Data</w:t>
      </w:r>
    </w:p>
    <w:p>
      <w:pPr>
        <w:pStyle w:val="Subtitle"/>
      </w:pPr>
      <w:r>
        <w:t>Fundamentos ingeniería y analítica aplicada</w:t>
        <w:br/>
        <w:t>Posgrado  |  Modalidad online  |  64 horas</w:t>
      </w:r>
    </w:p>
    <w:p>
      <w:r>
        <w:t>Este programa desarrolla competencias para formular problemas de datos, diseñar flujos de procesamiento y evaluar soluciones analíticas. Integra fundamentos de sistemas distribuidos con prácticas que pueden realizarse en un portátil, mediante Python, SQL, DuckDB y Apache Spark en modo local.</w:t>
      </w:r>
    </w:p>
    <w:p>
      <w:r>
        <w:t>La organización principal comprende cinco fines de semana, con 56 horas y 15 minutos de formación sincrónica y 7 horas y 45 minutos de trabajo autónomo orientado. Los recesos y el almuerzo están fuera de las 64 horas académicas. Las horas corresponden a períodos de 60 minutos.</w:t>
      </w:r>
    </w:p>
    <w:p>
      <w:pPr>
        <w:pStyle w:val="Heading1"/>
      </w:pPr>
      <w:r>
        <w:t>1 Identificación y alcance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rPr>
          <w:cantSplit/>
          <w:tblHeader/>
        </w:trPr>
        <w:tc>
          <w:tcPr>
            <w:tcW w:type="dxa" w:w="2268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Característica</w:t>
            </w:r>
          </w:p>
        </w:tc>
        <w:tc>
          <w:tcPr>
            <w:tcW w:type="dxa" w:w="7257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Definición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Nombre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Big Data fundamentos ingeniería y analítica aplicada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Nivel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Posgrado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Modalidad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Online con laboratorios locales y acompañamiento sincrónico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Duración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64 horas de trabajo académico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Distribución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56 h 15 min sincrónicas y 7 h 45 min autónomas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Calendario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Cinco fines de semana consecutivos o según calendario institucional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Horario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Viernes 18:00 a 22:00 y sábados 08:00 a 17:00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Producto final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Pipeline reproducible, análisis, informe técnico y defensa individual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Requisitos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Python básico, SQL elemental y estadística descriptiva</w:t>
            </w:r>
          </w:p>
        </w:tc>
      </w:tr>
    </w:tbl>
    <w:p>
      <w:pPr>
        <w:spacing w:after="20"/>
      </w:pPr>
    </w:p>
    <w:p>
      <w:r>
        <w:t>El curso se dirige a estudiantes de posgrado y profesionales que deban analizar datos o evaluar soluciones tecnológicas en investigación y organizaciones. No presupone experiencia en administración de clústeres. Los participantes deben poder ejecutar programas sencillos, interpretar una tabla y construir consultas con filtros y agrupaciones.</w:t>
      </w:r>
    </w:p>
    <w:p>
      <w:r>
        <w:t>La profundidad práctica se concentra en procesamiento por lotes, calidad, SQL analítico, Spark local y un flujo de eventos. Hadoop, NoSQL, lakehouse y despliegue en producción se estudian como decisiones de arquitectura. El aprendizaje automático se utiliza para integrar ingeniería y analítica, con un modelo introductorio; no constituye un curso completo de aprendizaje automático.</w:t>
      </w:r>
    </w:p>
    <w:p>
      <w:pPr>
        <w:pStyle w:val="Heading1"/>
      </w:pPr>
      <w:r>
        <w:t>2 Justificación</w:t>
      </w:r>
    </w:p>
    <w:p>
      <w:r>
        <w:t>El aumento de datos no convierte automáticamente cualquier problema en un problema de Big Data. La selección de una solución requiere conocer los límites de memoria, almacenamiento, latencia, concurrencia y confiabilidad, además del propósito del análisis. Una herramienta distribuida puede añadir complejidad sin mejorar el resultado cuando la carga cabe en un equipo local.</w:t>
      </w:r>
    </w:p>
    <w:p>
      <w:r>
        <w:t>El programa permite contrastar esas decisiones mediante experimentos reproducibles. El estudiante aprende a conservar el significado del dato durante su transformación, medir la calidad, explicar el costo de mover información y distinguir entre evidencia experimental y expectativas de escalabilidad. La exigencia de posgrado se expresa en la argumentación, la evaluación crítica y la documentación de límites.</w:t>
      </w:r>
    </w:p>
    <w:p>
      <w:pPr>
        <w:pStyle w:val="Heading1"/>
      </w:pPr>
      <w:r>
        <w:t>3 Objetivo general</w:t>
      </w:r>
    </w:p>
    <w:p>
      <w:r>
        <w:t>Diseñar, implementar y evaluar una solución reproducible de procesamiento y análisis de datos, utilizando herramientas ejecutables en un portátil y justificando sus decisiones de arquitectura, calidad, rendimiento y gobernanza.</w:t>
      </w:r>
    </w:p>
    <w:p>
      <w:pPr>
        <w:pStyle w:val="Heading1"/>
      </w:pPr>
      <w:r>
        <w:t>4 Resultados de aprendizaje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422"/>
        <w:gridCol w:w="3969"/>
      </w:tblGrid>
      <w:tr>
        <w:trPr>
          <w:cantSplit/>
          <w:tblHeader/>
        </w:trPr>
        <w:tc>
          <w:tcPr>
            <w:tcW w:type="dxa" w:w="1134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type="dxa" w:w="4422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Resultado verificable</w:t>
            </w:r>
          </w:p>
        </w:tc>
        <w:tc>
          <w:tcPr>
            <w:tcW w:type="dxa" w:w="3969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Evidencia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RA1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Formular un problema y justificar la necesidad de tecnologías de Big Data.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Ficha del problema y comparación de alternativas.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RA2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Diseñar e implementar un flujo de ingesta, calidad y almacenamiento.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Pipeline y reporte de conciliación de registros.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RA3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Construir transformaciones y consultas con Spark y explicar su ejecución.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Laboratorio por lotes y lectura del plan de ejecución.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RA4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Evaluar formatos, configuraciones y procesamiento de eventos con mediciones.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Informe experimental y laboratorio de streaming.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RA5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Integrar analítica, reproducibilidad y gobernanza en una solución defendible.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Proyecto, informe y sustentación individual.</w:t>
            </w:r>
          </w:p>
        </w:tc>
      </w:tr>
    </w:tbl>
    <w:p>
      <w:pPr>
        <w:spacing w:after="20"/>
      </w:pPr>
    </w:p>
    <w:p>
      <w:pPr>
        <w:pStyle w:val="Heading1"/>
      </w:pPr>
      <w:r>
        <w:t>5 Organización del tiempo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71"/>
        <w:gridCol w:w="3175"/>
        <w:gridCol w:w="2665"/>
      </w:tblGrid>
      <w:tr>
        <w:trPr>
          <w:cantSplit/>
          <w:tblHeader/>
        </w:trPr>
        <w:tc>
          <w:tcPr>
            <w:tcW w:type="dxa" w:w="1814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Jornada</w:t>
            </w:r>
          </w:p>
        </w:tc>
        <w:tc>
          <w:tcPr>
            <w:tcW w:type="dxa" w:w="1871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Tiempo de conexión</w:t>
            </w:r>
          </w:p>
        </w:tc>
        <w:tc>
          <w:tcPr>
            <w:tcW w:type="dxa" w:w="3175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Pausas</w:t>
            </w:r>
          </w:p>
        </w:tc>
        <w:tc>
          <w:tcPr>
            <w:tcW w:type="dxa" w:w="2665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Tiempo formativo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Viernes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4 h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15 min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3 h 45 min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Sábado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9 h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30 min de recesos y 1 h de almuerzo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7 h 30 min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Un fin de semana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13 h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1 h 45 min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11 h 15 min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Cinco fines de semana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65 h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8 h 45 min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56 h 15 min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Trabajo autónomo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7 h 45 min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No aplica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7 h 45 min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Total académico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No incluye pausas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No incluye almuerzos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64 h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098"/>
        <w:gridCol w:w="6180"/>
      </w:tblGrid>
      <w:tr>
        <w:trPr>
          <w:cantSplit/>
          <w:tblHeader/>
        </w:trPr>
        <w:tc>
          <w:tcPr>
            <w:tcW w:type="dxa" w:w="1247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Día</w:t>
            </w:r>
          </w:p>
        </w:tc>
        <w:tc>
          <w:tcPr>
            <w:tcW w:type="dxa" w:w="2098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Horario</w:t>
            </w:r>
          </w:p>
        </w:tc>
        <w:tc>
          <w:tcPr>
            <w:tcW w:type="dxa" w:w="6180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Actividad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Viernes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18:00–19:00</w:t>
            </w:r>
          </w:p>
        </w:tc>
        <w:tc>
          <w:tcPr>
            <w:tcW w:type="dxa" w:w="61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Fundamentos y discusión de caso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Viernes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19:00–20:00</w:t>
            </w:r>
          </w:p>
        </w:tc>
        <w:tc>
          <w:tcPr>
            <w:tcW w:type="dxa" w:w="61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Demostración y ejercicio guiado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Viernes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20:00–20:15</w:t>
            </w:r>
          </w:p>
        </w:tc>
        <w:tc>
          <w:tcPr>
            <w:tcW w:type="dxa" w:w="61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Coffee break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Viernes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20:15–21:30</w:t>
            </w:r>
          </w:p>
        </w:tc>
        <w:tc>
          <w:tcPr>
            <w:tcW w:type="dxa" w:w="61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Taller aplicado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Viernes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21:30–22:00</w:t>
            </w:r>
          </w:p>
        </w:tc>
        <w:tc>
          <w:tcPr>
            <w:tcW w:type="dxa" w:w="61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Socialización y evaluación formativa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Sábado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08:00–09:30</w:t>
            </w:r>
          </w:p>
        </w:tc>
        <w:tc>
          <w:tcPr>
            <w:tcW w:type="dxa" w:w="61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Desarrollo conceptual y demostración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Sábado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09:30–09:45</w:t>
            </w:r>
          </w:p>
        </w:tc>
        <w:tc>
          <w:tcPr>
            <w:tcW w:type="dxa" w:w="61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Receso de la mañana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Sábado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09:45–12:00</w:t>
            </w:r>
          </w:p>
        </w:tc>
        <w:tc>
          <w:tcPr>
            <w:tcW w:type="dxa" w:w="61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Laboratorio guiado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Sábado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12:00–13:00</w:t>
            </w:r>
          </w:p>
        </w:tc>
        <w:tc>
          <w:tcPr>
            <w:tcW w:type="dxa" w:w="61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Almuerzo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Sábado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13:00–15:00</w:t>
            </w:r>
          </w:p>
        </w:tc>
        <w:tc>
          <w:tcPr>
            <w:tcW w:type="dxa" w:w="61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Reto práctico y proyecto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Sábado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15:00–15:15</w:t>
            </w:r>
          </w:p>
        </w:tc>
        <w:tc>
          <w:tcPr>
            <w:tcW w:type="dxa" w:w="61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Receso de la tarde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Sábado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15:15–16:30</w:t>
            </w:r>
          </w:p>
        </w:tc>
        <w:tc>
          <w:tcPr>
            <w:tcW w:type="dxa" w:w="61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Integración y discusión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Sábado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16:30–17:00</w:t>
            </w:r>
          </w:p>
        </w:tc>
        <w:tc>
          <w:tcPr>
            <w:tcW w:type="dxa" w:w="61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Retroalimentación y cierre</w:t>
            </w:r>
          </w:p>
        </w:tc>
      </w:tr>
    </w:tbl>
    <w:p>
      <w:pPr>
        <w:spacing w:after="20"/>
      </w:pPr>
    </w:p>
    <w:p>
      <w:r>
        <w:t>En el último sábado los bloques de la tarde se destinan a revisión de resultados y sustentaciones. Para grupos grandes se organizarán equipos de dos o tres personas y una defensa individual breve. Con más de ocho equipos se requerirá distribuir algunas defensas durante la mañana o habilitar salas con evaluadores adicionales, manteniendo la carga horaria.</w:t>
      </w:r>
    </w:p>
    <w:p>
      <w:pPr>
        <w:pStyle w:val="Heading2"/>
      </w:pPr>
      <w:r>
        <w:t>Variante de 64 horas sincrónicas</w:t>
      </w:r>
    </w:p>
    <w:p>
      <w:r>
        <w:t>Si la institución exige que las 64 horas sean de interacción sincrónica, se conservarán los cinco fines de semana completos y se añadirán un sexto viernes de 18:00 a 22:00, con 15 minutos de receso, y un sexto sábado de 08:00 a 12:15, con 15 minutos de receso. Se obtienen 3 h 45 min más 4 h, para un total de 64 horas efectivas. El sábado abreviado no incluye almuerzo ni receso de tarde porque termina antes de esos períodos.</w:t>
      </w:r>
    </w:p>
    <w:p>
      <w:r>
        <w:t>En esa variante, las tareas de consolidación y la preparación del informe se realizarán durante las sesiones adicionales, y las defensas finales pasarán al sexto sábado. Si todos los sábados deben finalizar a las 17:00, seis fines de semana sumarían 67 h 30 min efectivos; por tanto, no corresponden exactamente a una carga de 64 horas.</w:t>
      </w:r>
    </w:p>
    <w:p>
      <w:pPr>
        <w:pStyle w:val="Heading1"/>
      </w:pPr>
      <w:r>
        <w:t>6 Estructura curricular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57"/>
        <w:gridCol w:w="1757"/>
        <w:gridCol w:w="1757"/>
      </w:tblGrid>
      <w:tr>
        <w:trPr>
          <w:cantSplit/>
          <w:tblHeader/>
        </w:trPr>
        <w:tc>
          <w:tcPr>
            <w:tcW w:type="dxa" w:w="4252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Módulo</w:t>
            </w:r>
          </w:p>
        </w:tc>
        <w:tc>
          <w:tcPr>
            <w:tcW w:type="dxa" w:w="1757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20"/>
              </w:rPr>
              <w:t>Sincrónico</w:t>
            </w:r>
          </w:p>
        </w:tc>
        <w:tc>
          <w:tcPr>
            <w:tcW w:type="dxa" w:w="1757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20"/>
              </w:rPr>
              <w:t>Autónomo</w:t>
            </w:r>
          </w:p>
        </w:tc>
        <w:tc>
          <w:tcPr>
            <w:tcW w:type="dxa" w:w="1757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20"/>
              </w:rPr>
              <w:t>Total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1 Fundamentos y problema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11 h 15 min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45 min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12 h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2 Arquitecturas almacenamiento y calidad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11 h 15 min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1 h 45 min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13 h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3 Procesamiento con Spark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11 h 15 min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1 h 45 min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13 h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4 Rendimiento y eventos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11 h 15 min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1 h 45 min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13 h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5 Analítica gobernanza e integración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11 h 15 min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1 h 45 min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13 h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Total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56 h 15 min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7 h 45 min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64 h</w:t>
            </w:r>
          </w:p>
        </w:tc>
      </w:tr>
    </w:tbl>
    <w:p>
      <w:pPr>
        <w:spacing w:after="20"/>
      </w:pPr>
    </w:p>
    <w:p>
      <w:pPr>
        <w:pStyle w:val="Heading2"/>
      </w:pPr>
      <w:r>
        <w:t>Módulo 1 Fundamentos y formulación del problema</w:t>
      </w:r>
    </w:p>
    <w:p>
      <w:r>
        <w:t>Resultado principal: RA1. Contenidos: Big Data y restricciones de procesamiento; volumen, velocidad, variedad y veracidad; escalabilidad vertical y horizontal; paralelismo; latencia y rendimiento; ciclo de vida del dato y componentes de una solución distribuida.</w:t>
      </w:r>
    </w:p>
    <w:p>
      <w:r>
        <w:t>Práctica: Diagnóstico, verificación del entorno, generación de datos sintéticos, perfil inicial y definición de pregunta analítica.</w:t>
      </w:r>
    </w:p>
    <w:p>
      <w:r>
        <w:t>Evidencia: Ficha con decisión a apoyar, variables, unidad de análisis, criterios de éxito y restricciones.</w:t>
      </w:r>
    </w:p>
    <w:p>
      <w:r>
        <w:t>Trabajo autónomo: 45 minutos para precisar el problema y completar el diccionario inicial.</w:t>
      </w:r>
    </w:p>
    <w:p>
      <w:pPr>
        <w:pStyle w:val="Heading2"/>
      </w:pPr>
      <w:r>
        <w:t>Módulo 2 Arquitecturas almacenamiento y calidad</w:t>
      </w:r>
    </w:p>
    <w:p>
      <w:r>
        <w:t>Resultado principal: RA2. Contenidos: Warehouse, lake y lakehouse; papel de Hadoop y HDFS; modelos relacional y NoSQL; CSV, JSON y Parquet; compresión y particionamiento; ETL y ELT; reglas, contratos y cuarentena.</w:t>
      </w:r>
    </w:p>
    <w:p>
      <w:r>
        <w:t>Práctica: Tipado, deduplicación exacta, clasificación de errores, conciliación y exportación a Parquet con DuckDB.</w:t>
      </w:r>
    </w:p>
    <w:p>
      <w:r>
        <w:t>Evidencia: Pipeline ejecutable, reporte de calidad y datos depurados.</w:t>
      </w:r>
    </w:p>
    <w:p>
      <w:r>
        <w:t>Trabajo autónomo: 1 h 45 min para documentar reglas, resolver una consulta y redactar una decisión de arquitectura.</w:t>
      </w:r>
    </w:p>
    <w:p>
      <w:pPr>
        <w:pStyle w:val="Heading2"/>
      </w:pPr>
      <w:r>
        <w:t>Módulo 3 Procesamiento con Apache Spark</w:t>
      </w:r>
    </w:p>
    <w:p>
      <w:r>
        <w:t>Resultado principal: RA3. Contenidos: Driver, ejecutores, particiones, trabajos y etapas; evaluación diferida; acciones y transformaciones; DataFrames y Spark SQL; joins, ventanas y shuffle.</w:t>
      </w:r>
    </w:p>
    <w:p>
      <w:r>
        <w:t>Práctica: Consultas equivalentes en Spark, enriquecimiento con una dimensión y selección de los tres pedidos de mayor importe por ciudad.</w:t>
      </w:r>
    </w:p>
    <w:p>
      <w:r>
        <w:t>Evidencia: Resultados conciliados con DuckDB, código y explicación de plan de ejecución.</w:t>
      </w:r>
    </w:p>
    <w:p>
      <w:r>
        <w:t>Trabajo autónomo: 1 h 45 min para consolidar el pipeline, añadir una consulta y justificar la estrategia de join.</w:t>
      </w:r>
    </w:p>
    <w:p>
      <w:pPr>
        <w:pStyle w:val="Heading2"/>
      </w:pPr>
      <w:r>
        <w:t>Módulo 4 Rendimiento y procesamiento de eventos</w:t>
      </w:r>
    </w:p>
    <w:p>
      <w:r>
        <w:t>Resultado principal: RA4. Contenidos: Planes de ejecución; caché, particiones y sesgo; benchmarking; throughput y latencia; microbatches; tiempo de evento y procesamiento; ventanas, watermark y checkpoint.</w:t>
      </w:r>
    </w:p>
    <w:p>
      <w:r>
        <w:t>Práctica: Medición CSV–Parquet y simulación de archivos que llegan por lotes, con eventos tardíos.</w:t>
      </w:r>
    </w:p>
    <w:p>
      <w:r>
        <w:t>Evidencia: Informe de medición y explicación de actualizaciones y descarte de eventos fuera del umbral.</w:t>
      </w:r>
    </w:p>
    <w:p>
      <w:r>
        <w:t>Trabajo autónomo: 1 h 45 min para interpretar mediciones y documentar un incidente de streaming.</w:t>
      </w:r>
    </w:p>
    <w:p>
      <w:pPr>
        <w:pStyle w:val="Heading2"/>
      </w:pPr>
      <w:r>
        <w:t>Módulo 5 Analítica gobernanza y proyecto</w:t>
      </w:r>
    </w:p>
    <w:p>
      <w:r>
        <w:t>Resultado principal: RA5. Contenidos: Formulación del objetivo analítico; variables y partición temporal; línea base, precisión, recall y F1; fuga de información; visualización; linaje, accesos, privacidad y costo.</w:t>
      </w:r>
    </w:p>
    <w:p>
      <w:r>
        <w:t>Práctica: Modelo introductorio de entregas tardías, ficha de gobernanza, integración y defensa.</w:t>
      </w:r>
    </w:p>
    <w:p>
      <w:r>
        <w:t>Evidencia: Solución reproducible, informe técnico y sustentación individual.</w:t>
      </w:r>
    </w:p>
    <w:p>
      <w:r>
        <w:t>Trabajo autónomo: 1 h 45 min antes del último sábado para preparar el informe y la presentación.</w:t>
      </w:r>
    </w:p>
    <w:p>
      <w:pPr>
        <w:pStyle w:val="Heading1"/>
      </w:pPr>
      <w:r>
        <w:t>7 Secuencia de sesiones y acompañamiento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195"/>
        <w:gridCol w:w="3742"/>
      </w:tblGrid>
      <w:tr>
        <w:trPr>
          <w:cantSplit/>
          <w:tblHeader/>
        </w:trPr>
        <w:tc>
          <w:tcPr>
            <w:tcW w:type="dxa" w:w="1587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Sesión</w:t>
            </w:r>
          </w:p>
        </w:tc>
        <w:tc>
          <w:tcPr>
            <w:tcW w:type="dxa" w:w="4195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Desarrollo central</w:t>
            </w:r>
          </w:p>
        </w:tc>
        <w:tc>
          <w:tcPr>
            <w:tcW w:type="dxa" w:w="3742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Producto al cierre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1 Viernes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Diagnóstico, fundamentos y selección del problema.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Pregunta y criterios de éxito.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2 Sábado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Entorno, generación de datos y exploración.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Perfil inicial y diccionario.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3 Viernes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Arquitecturas, modelos y formatos.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Decisión inicial de almacenamiento.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4 Sábado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ETL, calidad, consultas y Parquet.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Pipeline de limpieza conciliado.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5 Viernes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Modelo de ejecución de Spark.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Primeras transformaciones explicadas.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6 Sábado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Agregaciones, joins y ventanas.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Resultados equivalentes entre motores.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7 Viernes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Medición y optimización.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Diseño del experimento y primeras mediciones.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8 Sábado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Streaming, tiempos, ventanas y fallos.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Traza de eventos y análisis de resultados.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9 Viernes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Analítica, evaluación y gobernanza.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Modelo base y ficha de gobernanza.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10 Sábado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Integración, reproducibilidad y defensa.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Proyecto final y reflexión individual.</w:t>
            </w:r>
          </w:p>
        </w:tc>
      </w:tr>
    </w:tbl>
    <w:p>
      <w:pPr>
        <w:spacing w:after="20"/>
      </w:pPr>
    </w:p>
    <w:p>
      <w:pPr>
        <w:pStyle w:val="Heading2"/>
      </w:pPr>
      <w:r>
        <w:t>Estrategia didáctica</w:t>
      </w:r>
    </w:p>
    <w:p>
      <w:r>
        <w:t>Se destinará aproximadamente un 35 % del tiempo sincrónico a fundamentos, discusión y explicación de resultados, y un 65 % a demostraciones, laboratorios y proyecto. Cada encuentro alternará exposición breve, predicción del resultado, ejecución y discusión de evidencia. Los estudiantes trabajarán en parejas para revisar decisiones, pero deberán explicar individualmente su contribución.</w:t>
      </w:r>
    </w:p>
    <w:p>
      <w:r>
        <w:t>El aula virtual contendrá el programa, la guía académica, los archivos de práctica, las consignas y los espacios de entrega. Los notebooks o programas se ejecutarán localmente; la videoconferencia se utilizará para demostraciones y acompañamiento. Las guías escritas permitirán continuar el trabajo cuando haya interrupciones de conexión.</w:t>
      </w:r>
    </w:p>
    <w:p>
      <w:pPr>
        <w:pStyle w:val="Heading2"/>
      </w:pPr>
      <w:r>
        <w:t>Apoyo y nivelación</w:t>
      </w:r>
    </w:p>
    <w:p>
      <w:r>
        <w:t>El diagnóstico se aplicará durante la primera sesión y no tendrá nota. Si aparecen dificultades, se usarán ejercicios cortos de lectura de CSV, filtrado, agrupación, joins y estadística descriptiva dentro de los laboratorios. La instalación se verificará durante la primera jornada práctica; no se presupone una actividad obligatoria adicional fuera de las 64 horas.</w:t>
      </w:r>
    </w:p>
    <w:p>
      <w:r>
        <w:t>Cada entrega recibirá retroalimentación sobre corrección, reproducibilidad y razonamiento. El docente facilitará ejemplos mínimos y datos reducidos para resolver fallos de entorno sin convertir toda la sesión en soporte técnico.</w:t>
      </w:r>
    </w:p>
    <w:p>
      <w:pPr>
        <w:pStyle w:val="Heading1"/>
      </w:pPr>
      <w:r>
        <w:t>8 Evaluación y proyecto integrador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1304"/>
        <w:gridCol w:w="2551"/>
      </w:tblGrid>
      <w:tr>
        <w:trPr>
          <w:cantSplit/>
          <w:tblHeader/>
        </w:trPr>
        <w:tc>
          <w:tcPr>
            <w:tcW w:type="dxa" w:w="5669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1304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20"/>
              </w:rPr>
              <w:t>Peso</w:t>
            </w:r>
          </w:p>
        </w:tc>
        <w:tc>
          <w:tcPr>
            <w:tcW w:type="dxa" w:w="2551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Resultados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Laboratorios de ingesta calidad y procesamiento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30 %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RA1 RA2 RA3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Informe experimental de rendimiento y streaming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20 %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RA4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Proyecto integrador e informe técnico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35 %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RA1 a RA5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Sustentación individual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15 %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RA3 RA4 RA5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Total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0"/>
              </w:rPr>
              <w:t>100 %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20"/>
      </w:pPr>
    </w:p>
    <w:p>
      <w:r>
        <w:t>Los laboratorios se distribuirán en tres entregas de 10 %: problema y perfilado; calidad y almacenamiento; procesamiento con Spark. El informe experimental integrará las prácticas de benchmarking y eventos. El diagnóstico y los ejercicios de cierre tendrán función formativa.</w:t>
      </w:r>
    </w:p>
    <w:p>
      <w:r>
        <w:t>El proyecto resolverá una pregunta sobre pedidos y tiempos de entrega con datos sintéticos, o un problema equivalente autorizado por el docente. El cambio de dominio deberá conservar una complejidad comparable y permitir ejecutar todo el flujo localmente. Se debe evitar el uso de información personal real cuando no sea indispensable.</w:t>
      </w:r>
    </w:p>
    <w:p>
      <w:pPr>
        <w:pStyle w:val="Heading2"/>
      </w:pPr>
      <w:r>
        <w:t>Entregables del proyecto</w:t>
      </w:r>
    </w:p>
    <w:p>
      <w:pPr>
        <w:pStyle w:val="ListBullet"/>
      </w:pPr>
      <w:r>
        <w:t>Ficha del problema con unidad de análisis, pregunta, restricciones y criterios de éxito.</w:t>
      </w:r>
    </w:p>
    <w:p>
      <w:pPr>
        <w:pStyle w:val="ListBullet"/>
      </w:pPr>
      <w:r>
        <w:t>Diccionario de datos, reglas de calidad y reporte de conciliación.</w:t>
      </w:r>
    </w:p>
    <w:p>
      <w:pPr>
        <w:pStyle w:val="ListBullet"/>
      </w:pPr>
      <w:r>
        <w:t>Programas o notebooks ejecutables, versiones y orden de ejecución.</w:t>
      </w:r>
    </w:p>
    <w:p>
      <w:pPr>
        <w:pStyle w:val="ListBullet"/>
      </w:pPr>
      <w:r>
        <w:t>Datos depurados en Parquet y resultados de consultas con Spark.</w:t>
      </w:r>
    </w:p>
    <w:p>
      <w:pPr>
        <w:pStyle w:val="ListBullet"/>
      </w:pPr>
      <w:r>
        <w:t>Experimento de rendimiento y evidencia de procesamiento de eventos.</w:t>
      </w:r>
    </w:p>
    <w:p>
      <w:pPr>
        <w:pStyle w:val="ListBullet"/>
      </w:pPr>
      <w:r>
        <w:t>Análisis o modelo sencillo con línea base y evaluación pertinente.</w:t>
      </w:r>
    </w:p>
    <w:p>
      <w:pPr>
        <w:pStyle w:val="ListBullet"/>
      </w:pPr>
      <w:r>
        <w:t>Informe técnico de 8 a 12 páginas y presentación de 8 a 10 minutos, más preguntas.</w:t>
      </w:r>
    </w:p>
    <w:p>
      <w:pPr>
        <w:pStyle w:val="Heading2"/>
      </w:pPr>
      <w:r>
        <w:t>Criterios de valoración</w:t>
      </w:r>
    </w:p>
    <w:p>
      <w:r>
        <w:t>La solución deberá producir resultados correctos, conservar trazabilidad y poder ejecutarse desde un entorno limpio. Las decisiones de arquitectura y rendimiento se evaluarán por su justificación y evidencia, no por utilizar más herramientas. En la analítica se exigirá separar entrenamiento y prueba, declarar limitaciones y evitar conclusiones causales no sustentadas.</w:t>
      </w:r>
    </w:p>
    <w:p>
      <w:r>
        <w:t>La guía académica complementaria contiene rúbricas con descriptores y un banco de preguntas. La escala de aprobación y las reglas institucionales de asistencia se aplicarán según la normativa del programa que ofrezca el curso.</w:t>
      </w:r>
    </w:p>
    <w:p>
      <w:pPr>
        <w:pStyle w:val="Heading1"/>
      </w:pPr>
      <w:r>
        <w:t>9 Recursos y viabilidad técnica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690"/>
      </w:tblGrid>
      <w:tr>
        <w:trPr>
          <w:cantSplit/>
          <w:tblHeader/>
        </w:trPr>
        <w:tc>
          <w:tcPr>
            <w:tcW w:type="dxa" w:w="2835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Recurso</w:t>
            </w:r>
          </w:p>
        </w:tc>
        <w:tc>
          <w:tcPr>
            <w:tcW w:type="dxa" w:w="6690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Función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Python y JupyterLab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Programación y documentación de prácticas.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pandas y PyArrow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Perfilado y lectura de archivos columnares.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DuckDB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SQL analítico local y controles de calidad.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PySpark en modo local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Procesamiento por lotes y microbatches.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scikit learn y Matplotlib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Modelo introductorio y visualización.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Aula virtual y videoconferencia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Distribución de material, acompañamiento y entregas.</w:t>
            </w:r>
          </w:p>
        </w:tc>
      </w:tr>
    </w:tbl>
    <w:p>
      <w:pPr>
        <w:spacing w:after="20"/>
      </w:pPr>
    </w:p>
    <w:p>
      <w:r>
        <w:t>Se recomienda un equipo con 16 GB de RAM, cuatro núcleos y 20 a 30 GB libres en SSD. En equipos de 8 GB se utilizarán muestras de menor tamaño y dos hilos de procesamiento. El conjunto inicial tendrá 20 000 registros únicos antes de los errores introducidos y podrá ampliarse gradualmente. No se requiere GPU ni contratar una nube.</w:t>
      </w:r>
    </w:p>
    <w:p>
      <w:r>
        <w:t>La guía propone Python 3.12 y Java 17, con versiones fijadas de las bibliotecas. PySpark 4.0.1 admite instalación local y requiere Java 17 o posterior [R1]. El docente deberá conservar el entorno probado durante la cohorte y verificar la compatibilidad antes de actualizar versiones.</w:t>
      </w:r>
    </w:p>
    <w:p>
      <w:r>
        <w:t>Spark local permite aprender particiones, transformaciones y planes, pero no reproduce redes, fallos de nodos ni escalabilidad de un clúster real. Las conclusiones de rendimiento deberán limitarse al equipo y a las cargas medidos. El caso sintético permite verificar resultados; no valida decisiones comerciales sobre una población real.</w:t>
      </w:r>
    </w:p>
    <w:p>
      <w:pPr>
        <w:pStyle w:val="Heading2"/>
      </w:pPr>
      <w:r>
        <w:t>Preparación del docente</w:t>
      </w:r>
    </w:p>
    <w:p>
      <w:pPr>
        <w:pStyle w:val="ListBullet"/>
      </w:pPr>
      <w:r>
        <w:t>Publicar instrucciones y archivos de práctica en el aula virtual.</w:t>
      </w:r>
    </w:p>
    <w:p>
      <w:pPr>
        <w:pStyle w:val="ListBullet"/>
      </w:pPr>
      <w:r>
        <w:t>Ejecutar el flujo completo en un equipo comparable al del estudiante.</w:t>
      </w:r>
    </w:p>
    <w:p>
      <w:pPr>
        <w:pStyle w:val="ListBullet"/>
      </w:pPr>
      <w:r>
        <w:t>Preparar una muestra pequeña y otra ampliada, evitando cargas que bloqueen el portátil.</w:t>
      </w:r>
    </w:p>
    <w:p>
      <w:pPr>
        <w:pStyle w:val="ListBullet"/>
      </w:pPr>
      <w:r>
        <w:t>Comprobar Java, Python y Spark antes de la sesión correspondiente.</w:t>
      </w:r>
    </w:p>
    <w:p>
      <w:pPr>
        <w:pStyle w:val="ListBullet"/>
      </w:pPr>
      <w:r>
        <w:t>Distribuir criterios de evaluación y calendario relativo de entregas.</w:t>
      </w:r>
    </w:p>
    <w:p>
      <w:pPr>
        <w:pStyle w:val="ListBullet"/>
      </w:pPr>
      <w:r>
        <w:t>Reservar tiempos de sustentación según el número de equipos.</w:t>
      </w:r>
    </w:p>
    <w:p>
      <w:pPr>
        <w:pStyle w:val="Heading1"/>
      </w:pPr>
      <w:r>
        <w:t>10 Bibliografía y documentación</w:t>
      </w:r>
    </w:p>
    <w:p>
      <w:r>
        <w:t>Fuentes técnicas de consulta. Los códigos R1 a R8 remiten a estas referencias. Consulta realizada el 29 de septiembre de 2026. Las actividades, los casos y los datos sintéticos del curso son elaboraciones didácticas; no representan observaciones de una organización real.</w:t>
      </w:r>
    </w:p>
    <w:p>
      <w:r>
        <w:t>[R1] Apache Software Foundation. (2025). PySpark 4.0.1 Installation. https://spark.apache.org/docs/4.0.1/api/python/getting_started/install.html</w:t>
      </w:r>
    </w:p>
    <w:p>
      <w:r>
        <w:t>[R2] Apache Software Foundation. (2025). RDD Programming Guide Spark 4.0.1. https://spark.apache.org/docs/4.0.1/rdd-programming-guide.html</w:t>
      </w:r>
    </w:p>
    <w:p>
      <w:r>
        <w:t>[R3] Apache Software Foundation. (2025). Performance Tuning Spark 4.0.1. https://spark.apache.org/docs/4.0.1/sql-performance-tuning.html</w:t>
      </w:r>
    </w:p>
    <w:p>
      <w:r>
        <w:t>[R4] Apache Software Foundation. (2025). Structured Streaming Programming Guide Spark 4.0.1. https://spark.apache.org/docs/4.0.1/streaming/apis-on-dataframes-and-datasets.html</w:t>
      </w:r>
    </w:p>
    <w:p>
      <w:r>
        <w:t>[R5] DuckDB Foundation. (s. f.). Python API. https://duckdb.org/docs/current/clients/python/overview</w:t>
      </w:r>
    </w:p>
    <w:p>
      <w:r>
        <w:t>[R6] DuckDB Foundation. (s. f.). Tuning Workloads. https://duckdb.org/docs/current/guides/performance/how_to_tune_workloads</w:t>
      </w:r>
    </w:p>
    <w:p>
      <w:r>
        <w:t>[R7] Apache Software Foundation. (s. f.). Apache Parquet Overview. https://parquet.apache.org/docs/overview/</w:t>
      </w:r>
    </w:p>
    <w:p>
      <w:r>
        <w:t>[R8] scikit-learn developers. (s. f.). Common pitfalls and recommended practices. https://scikit-learn.org/stable/common_pitfalls.html</w:t>
      </w:r>
    </w:p>
    <w:p>
      <w:r>
        <w:t>Lecturas de profundización sugeridas: Kleppmann, M. (2017). Designing Data-Intensive Applications. O’Reilly Media. Leskovec, J., Rajaraman, A. y Ullman, J. D. (2020). Mining of Massive Datasets, tercera edición. Cambridge University Press. Estas obras amplían el curso y no son necesarias para ejecutar las prácticas.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Big Data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4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40"/>
    </w:pPr>
    <w:rPr>
      <w:rFonts w:asciiTheme="majorHAnsi" w:eastAsiaTheme="majorEastAsia" w:hAnsiTheme="majorHAnsi" w:cstheme="majorBidi" w:ascii="Calibri" w:hAnsi="Calibri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widowControl w:val="0"/>
      <w:spacing w:line="240" w:lineRule="auto" w:after="0" w:before="0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académico de Big Data</dc:title>
  <dc:subject>Fundamentos ingeniería y analítica aplicada
Posgrado  |  Modalidad online  |  64 horas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