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pPr>
    </w:p>
    <w:p>
      <w:pPr>
        <w:jc w:val="center"/>
      </w:pPr>
      <w:r>
        <w:rPr>
          <w:b/>
          <w:sz w:val="40"/>
        </w:rPr>
        <w:t>Model Validation Report – PD 12M</w:t>
      </w:r>
    </w:p>
    <w:p>
      <w:pPr>
        <w:jc w:val="center"/>
      </w:pPr>
      <w:r>
        <w:t>Fundación Universitaria San Mateo</w:t>
      </w:r>
    </w:p>
    <w:p>
      <w:pPr>
        <w:jc w:val="center"/>
      </w:pPr>
      <w:r>
        <w:t>Ingeniería de Sistemas</w:t>
      </w:r>
    </w:p>
    <w:p>
      <w:pPr>
        <w:jc w:val="center"/>
      </w:pPr>
      <w:r>
        <w:t>Materia Eje: Minería de Datos, Modelado y Simulación, Ética Profesional, Electiva 6: Fundamentos de la Transformación Digital</w:t>
      </w:r>
    </w:p>
    <w:p>
      <w:pPr>
        <w:spacing w:before="200"/>
      </w:pPr>
    </w:p>
    <w:p>
      <w:r>
        <w:t>Integrantes:</w:t>
      </w:r>
    </w:p>
    <w:p>
      <w:r>
        <w:t>Ruben Andres Reyes Cuellar, Jhon Palacio, Brayan Nemgua</w:t>
      </w:r>
    </w:p>
    <w:p>
      <w:r>
        <w:t>Fecha de entrega:</w:t>
      </w:r>
    </w:p>
    <w:p>
      <w:r>
        <w:t>23 de February de 2026</w:t>
      </w:r>
    </w:p>
    <w:p>
      <w:r>
        <w:br w:type="page"/>
      </w:r>
    </w:p>
    <w:p>
      <w:pPr>
        <w:pStyle w:val="Heading1"/>
      </w:pPr>
      <w:r>
        <w:t>Resumen Ejecutivo</w:t>
      </w:r>
    </w:p>
    <w:p>
      <w:r>
        <w:t>Este informe de validación independiente evalúa el modelo de regresión logística que estima la Probabilidad de Default (PD) a 12 meses. El objetivo es verificar la reproducibilidad de los datos, confirmar la ausencia de fuga de información, evaluar la discriminación, calibración y estabilidad del modelo, y revisar aspectos de fair lending. Se realizan pruebas en conjuntos out-of-time, se analizan métricas de rendimiento y se emiten recomendaciones para garantizar la solidez y el cumplimiento regulatorio del modelo.</w:t>
      </w:r>
    </w:p>
    <w:p>
      <w:pPr>
        <w:pStyle w:val="Heading1"/>
      </w:pPr>
      <w:r>
        <w:t>Marco Teórico</w:t>
      </w:r>
    </w:p>
    <w:p>
      <w:r>
        <w:t>La validación de modelos de riesgo se fundamenta en los principios del Model Risk Management (MRM) y las guías del Basel Committee. Un modelo debe ser verificable, reproducible y comparado con modelos alternativos. Las métricas de discriminación (AUC, KS), calibración (Brier Score, curvas de reliabilidad) y estabilidad (Population Stability Index, PSI) permiten evaluar la calidad del modelo. La independencia del validador asegura objetividad. Además, los principios de equidad exigen medir posibles sesgos de aprobación y error por grupo.</w:t>
      </w:r>
    </w:p>
    <w:p>
      <w:r>
        <w:t>Para garantizar la reproducibilidad, se replican los procesos de extracción y transformación de datos. Se revisa la definición del label y se analizan las variables utilizadas. Se evalúa que las variables no se contaminen con información futura ni correlaciones espurias. La validación también contempla el backtesting para comparar las predicciones con las tasas reales de default.</w:t>
      </w:r>
    </w:p>
    <w:p>
      <w:pPr>
        <w:pStyle w:val="Heading1"/>
      </w:pPr>
      <w:r>
        <w:t>Metodología</w:t>
      </w:r>
    </w:p>
    <w:p>
      <w:r>
        <w:t>1. Reproducibilidad: Se ejecuta el ETL con scripts proporcionados para reconstruir el dataset analítico. Se verifican conteos, porcentajes de default y estadísticas descriptivas contra el desarrollo del modelo.</w:t>
      </w:r>
    </w:p>
    <w:p>
      <w:r>
        <w:t>2. Análisis de datos y variables: Se examinan las variables para identificar colinealidad, presencia de outliers y posibles proxies sensibles. Se revisa la definición del label y las reglas de censura temporal.</w:t>
      </w:r>
    </w:p>
    <w:p>
      <w:r>
        <w:t>3. Evaluación de discriminación: Se calculan AUC y KS en los conjuntos de validación y test. Se comparan con los objetivos establecidos.</w:t>
      </w:r>
    </w:p>
    <w:p>
      <w:r>
        <w:t>4. Evaluación de calibración: Se calcula el Brier Score y se generan diagramas de calibración. Se evalúa la consistencia entre la PD pronosticada y la tasa real de default.</w:t>
      </w:r>
    </w:p>
    <w:p>
      <w:r>
        <w:t>5. Estabilidad temporal: Se calcula el Population Stability Index (PSI) comparando la distribución de puntuaciones entre train y test. Se identifica drift.</w:t>
      </w:r>
    </w:p>
    <w:p>
      <w:r>
        <w:t>6. Fair lending: Se realizan pruebas de disparidad de aprobación y error por grupo, remitiendo detalles al informe de ética.</w:t>
      </w:r>
    </w:p>
    <w:p>
      <w:r>
        <w:t>7. Backtesting y benchmarking: Se compara la PD promedio predicha con la tasa observada en períodos posteriores y se contrasta con modelos alternativos si existen.</w:t>
      </w:r>
    </w:p>
    <w:p>
      <w:pPr>
        <w:pStyle w:val="Heading1"/>
      </w:pPr>
      <w:r>
        <w:t>Resultados Esperados</w:t>
      </w:r>
    </w:p>
    <w:p>
      <w:r>
        <w:t>El proceso de validación debe confirmar que el dataset es reproducible y que las métricas de rendimiento son coherentes con las del desarrollo. Se espera observar AUC y KS similares en validación y test, un Brier Score bajo y curvas de calibración cercanas a la diagonal. La estabilidad debería mostrar un PSI menor a 0.1. Cualquier desviación significativa se documentará junto con recomendaciones.</w:t>
      </w:r>
    </w:p>
    <w:p>
      <w:pPr>
        <w:pStyle w:val="Heading1"/>
      </w:pPr>
      <w:r>
        <w:t>Conclusiones</w:t>
      </w:r>
    </w:p>
    <w:p>
      <w:r>
        <w:t>La validación independiente asegura que el modelo es sólido, reproducible y apto para uso operativo. Las métricas esperadas indican un desempeño consistente y calibrado. Se recomienda continuar monitoreando el modelo, actualizarlo con nuevos datos y revisar periódicamente la equidad. De encontrarse sesgos o drift, se deberán ajustar variables o recalibrar el modelo.</w:t>
      </w:r>
    </w:p>
    <w:p>
      <w:pPr>
        <w:pStyle w:val="Heading1"/>
      </w:pPr>
      <w:r>
        <w:t>Bibliografía Sugerida</w:t>
      </w:r>
    </w:p>
    <w:p>
      <w:r>
        <w:t>• Basel Committee on Banking Supervision (2019). ‘Principles for the Management of Credit Risk’.</w:t>
        <w:br/>
        <w:t>• OCC. ‘Model Risk Management: OCC Bulletin 2011-12’.</w:t>
        <w:br/>
        <w:t>• Fawcett, T. (2006). ‘An Introduction to ROC Analysis’.</w:t>
        <w:br/>
        <w:t>• Kupiec, P. (1995). ‘Techniques for Verifying the Accuracy of Risk Measurement Models’.</w:t>
        <w:br/>
        <w:t>• Hardt, M., Price, E., &amp; Srebro, N. (2016). ‘Equality of Opportunity in Supervised Learning’.</w:t>
        <w:br/>
      </w:r>
    </w:p>
    <w:p>
      <w:pPr>
        <w:pStyle w:val="Heading1"/>
      </w:pPr>
      <w:r>
        <w:t>Anexo: Procedimiento de Validación</w:t>
      </w:r>
    </w:p>
    <w:p>
      <w:r>
        <w:br/>
        <w:t>1. Replicar la construcción del dataset analítico usando los scripts de ETL.</w:t>
        <w:br/>
        <w:t>2. Verificar que las proporciones de default, tamaño de muestra y estadísticas descriptivas coinciden con el desarrollo.</w:t>
        <w:br/>
        <w:t>3. Evaluar discriminación (AUC, KS) en los conjuntos de validación y test.</w:t>
        <w:br/>
        <w:t>4. Evaluar calibración usando el Brier Score y curvas de calibración.</w:t>
        <w:br/>
        <w:t>5. Calcular la estabilidad temporal (Population Stability Index) entre train y test.</w:t>
        <w:br/>
        <w:t>6. Verificar el control de fuga de información revisando variables con altas correlaciones con el label.</w:t>
        <w:br/>
        <w:t>7. Realizar backtesting comparando PD pronosticadas vs defaults observados.</w:t>
        <w:br/>
        <w:t>8. Documentar hallazgos y recomendaciones.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