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D46F" w14:textId="77777777" w:rsidR="005633EC" w:rsidRDefault="005633EC"/>
    <w:p w14:paraId="6DFE53A7" w14:textId="77777777" w:rsidR="005633EC" w:rsidRDefault="00000000">
      <w:pPr>
        <w:jc w:val="center"/>
      </w:pPr>
      <w:r>
        <w:rPr>
          <w:b/>
          <w:sz w:val="40"/>
        </w:rPr>
        <w:t>Fair Lending &amp; Ethical Risk Assessment – PD 12M</w:t>
      </w:r>
    </w:p>
    <w:p w14:paraId="50DC29C0" w14:textId="77777777" w:rsidR="005633EC" w:rsidRPr="00E5511F" w:rsidRDefault="00000000">
      <w:pPr>
        <w:jc w:val="center"/>
        <w:rPr>
          <w:lang w:val="es-MX"/>
        </w:rPr>
      </w:pPr>
      <w:r w:rsidRPr="00E5511F">
        <w:rPr>
          <w:lang w:val="es-MX"/>
        </w:rPr>
        <w:t>Fundación Universitaria San Mateo</w:t>
      </w:r>
    </w:p>
    <w:p w14:paraId="293A7CCC" w14:textId="77777777" w:rsidR="005633EC" w:rsidRPr="00E5511F" w:rsidRDefault="00000000">
      <w:pPr>
        <w:jc w:val="center"/>
        <w:rPr>
          <w:lang w:val="es-MX"/>
        </w:rPr>
      </w:pPr>
      <w:r w:rsidRPr="00E5511F">
        <w:rPr>
          <w:lang w:val="es-MX"/>
        </w:rPr>
        <w:t>Ingeniería de Sistemas</w:t>
      </w:r>
    </w:p>
    <w:p w14:paraId="43D273FA" w14:textId="77777777" w:rsidR="005633EC" w:rsidRPr="00E5511F" w:rsidRDefault="00000000">
      <w:pPr>
        <w:jc w:val="center"/>
        <w:rPr>
          <w:lang w:val="es-MX"/>
        </w:rPr>
      </w:pPr>
      <w:r w:rsidRPr="00E5511F">
        <w:rPr>
          <w:lang w:val="es-MX"/>
        </w:rPr>
        <w:t>Materia Eje: Minería de Datos, Modelado y Simulación, Ética Profesional, Electiva 6: Fundamentos de la Transformación Digital</w:t>
      </w:r>
    </w:p>
    <w:p w14:paraId="7BB81DCD" w14:textId="77777777" w:rsidR="005633EC" w:rsidRPr="00E5511F" w:rsidRDefault="005633EC">
      <w:pPr>
        <w:spacing w:before="200"/>
        <w:rPr>
          <w:lang w:val="es-MX"/>
        </w:rPr>
      </w:pPr>
    </w:p>
    <w:p w14:paraId="615C3576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Integrantes:</w:t>
      </w:r>
    </w:p>
    <w:p w14:paraId="297BD09A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Ruben Andres Reyes Cuellar, </w:t>
      </w:r>
      <w:proofErr w:type="spellStart"/>
      <w:r w:rsidRPr="00E5511F">
        <w:rPr>
          <w:lang w:val="es-MX"/>
        </w:rPr>
        <w:t>Jhon</w:t>
      </w:r>
      <w:proofErr w:type="spellEnd"/>
      <w:r w:rsidRPr="00E5511F">
        <w:rPr>
          <w:lang w:val="es-MX"/>
        </w:rPr>
        <w:t xml:space="preserve"> Palacio, Brayan </w:t>
      </w:r>
      <w:proofErr w:type="spellStart"/>
      <w:r w:rsidRPr="00E5511F">
        <w:rPr>
          <w:lang w:val="es-MX"/>
        </w:rPr>
        <w:t>Nemgua</w:t>
      </w:r>
      <w:proofErr w:type="spellEnd"/>
    </w:p>
    <w:p w14:paraId="0DFE6A88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Fecha de entrega:</w:t>
      </w:r>
    </w:p>
    <w:p w14:paraId="74499AED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23 de </w:t>
      </w:r>
      <w:proofErr w:type="spellStart"/>
      <w:r w:rsidRPr="00E5511F">
        <w:rPr>
          <w:lang w:val="es-MX"/>
        </w:rPr>
        <w:t>February</w:t>
      </w:r>
      <w:proofErr w:type="spellEnd"/>
      <w:r w:rsidRPr="00E5511F">
        <w:rPr>
          <w:lang w:val="es-MX"/>
        </w:rPr>
        <w:t xml:space="preserve"> de 2026</w:t>
      </w:r>
    </w:p>
    <w:p w14:paraId="46C966CA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br w:type="page"/>
      </w:r>
    </w:p>
    <w:p w14:paraId="3779346A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lastRenderedPageBreak/>
        <w:t>Resumen Ejecutivo</w:t>
      </w:r>
    </w:p>
    <w:p w14:paraId="3FDCA8F7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Este informe analiza la equidad y los riesgos éticos asociados al modelo de PD a 12 meses. Se evalúan métricas de Disparate </w:t>
      </w:r>
      <w:proofErr w:type="spellStart"/>
      <w:r w:rsidRPr="00E5511F">
        <w:rPr>
          <w:lang w:val="es-MX"/>
        </w:rPr>
        <w:t>Impact</w:t>
      </w:r>
      <w:proofErr w:type="spellEnd"/>
      <w:r w:rsidRPr="00E5511F">
        <w:rPr>
          <w:lang w:val="es-MX"/>
        </w:rPr>
        <w:t xml:space="preserve"> (regla del 80%), </w:t>
      </w:r>
      <w:proofErr w:type="spellStart"/>
      <w:r w:rsidRPr="00E5511F">
        <w:rPr>
          <w:lang w:val="es-MX"/>
        </w:rPr>
        <w:t>Equal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Opportunity</w:t>
      </w:r>
      <w:proofErr w:type="spellEnd"/>
      <w:r w:rsidRPr="00E5511F">
        <w:rPr>
          <w:lang w:val="es-MX"/>
        </w:rPr>
        <w:t xml:space="preserve"> (TPR por grupo), </w:t>
      </w:r>
      <w:proofErr w:type="spellStart"/>
      <w:r w:rsidRPr="00E5511F">
        <w:rPr>
          <w:lang w:val="es-MX"/>
        </w:rPr>
        <w:t>Equalized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Odds</w:t>
      </w:r>
      <w:proofErr w:type="spellEnd"/>
      <w:r w:rsidRPr="00E5511F">
        <w:rPr>
          <w:lang w:val="es-MX"/>
        </w:rPr>
        <w:t xml:space="preserve"> (comparación de TPR y FPR), y la calibración por grupo. También se revisan las implicaciones regulatorias de GDPR y COPNIA en cuanto a </w:t>
      </w:r>
      <w:proofErr w:type="spellStart"/>
      <w:r w:rsidRPr="00E5511F">
        <w:rPr>
          <w:lang w:val="es-MX"/>
        </w:rPr>
        <w:t>explicabilidad</w:t>
      </w:r>
      <w:proofErr w:type="spellEnd"/>
      <w:r w:rsidRPr="00E5511F">
        <w:rPr>
          <w:lang w:val="es-MX"/>
        </w:rPr>
        <w:t xml:space="preserve"> y minimización de datos. El objetivo es detectar posibles sesgos, proponer mitigaciones y documentar acciones de mejora para garantizar un proceso crediticio justo y no discriminatorio.</w:t>
      </w:r>
    </w:p>
    <w:p w14:paraId="0F4AD922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t>Marco Teórico</w:t>
      </w:r>
    </w:p>
    <w:p w14:paraId="4578B92E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El </w:t>
      </w:r>
      <w:proofErr w:type="spellStart"/>
      <w:r w:rsidRPr="00E5511F">
        <w:rPr>
          <w:lang w:val="es-MX"/>
        </w:rPr>
        <w:t>fair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lending</w:t>
      </w:r>
      <w:proofErr w:type="spellEnd"/>
      <w:r w:rsidRPr="00E5511F">
        <w:rPr>
          <w:lang w:val="es-MX"/>
        </w:rPr>
        <w:t xml:space="preserve"> se sustenta en la prohibición de discriminación por atributos sensibles. El Disparate Impacto se evalúa mediante la razón de tasas de aprobación entre grupos protegidos y de referencia; se considera aceptable si es mayor al 80%. La </w:t>
      </w:r>
      <w:proofErr w:type="spellStart"/>
      <w:r w:rsidRPr="00E5511F">
        <w:rPr>
          <w:lang w:val="es-MX"/>
        </w:rPr>
        <w:t>Equal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Opportunity</w:t>
      </w:r>
      <w:proofErr w:type="spellEnd"/>
      <w:r w:rsidRPr="00E5511F">
        <w:rPr>
          <w:lang w:val="es-MX"/>
        </w:rPr>
        <w:t xml:space="preserve"> se centra en la igualdad de tasas de verdaderos positivos (TPR) entre grupos, mientras que </w:t>
      </w:r>
      <w:proofErr w:type="spellStart"/>
      <w:r w:rsidRPr="00E5511F">
        <w:rPr>
          <w:lang w:val="es-MX"/>
        </w:rPr>
        <w:t>Equalized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Odds</w:t>
      </w:r>
      <w:proofErr w:type="spellEnd"/>
      <w:r w:rsidRPr="00E5511F">
        <w:rPr>
          <w:lang w:val="es-MX"/>
        </w:rPr>
        <w:t xml:space="preserve"> agrega la comparación de tasas de falsos positivos (FPR). La calibración por grupo examina si las PD pronosticadas corresponden a la tasa observada de default en cada segmento. Los marcos de privacidad como GDPR exigen minimización de datos y transparencia en la explicación del modelo.</w:t>
      </w:r>
    </w:p>
    <w:p w14:paraId="4364ECA8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La ética en los modelos exige evitar el uso de variables </w:t>
      </w:r>
      <w:proofErr w:type="spellStart"/>
      <w:r w:rsidRPr="00E5511F">
        <w:rPr>
          <w:lang w:val="es-MX"/>
        </w:rPr>
        <w:t>proxies</w:t>
      </w:r>
      <w:proofErr w:type="spellEnd"/>
      <w:r w:rsidRPr="00E5511F">
        <w:rPr>
          <w:lang w:val="es-MX"/>
        </w:rPr>
        <w:t xml:space="preserve"> que puedan reflejar atributos sensibles de manera indirecta, así como documentar las decisiones y permitir auditorías. COPNIA y otras normas profesionales requieren que los ingenieros de sistemas aseguren la responsabilidad y diligencia en el diseño y mantenimiento de modelos, supervisando los impactos adversos en individuos y grupos.</w:t>
      </w:r>
    </w:p>
    <w:p w14:paraId="11D7C5CC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t>Metodología</w:t>
      </w:r>
    </w:p>
    <w:p w14:paraId="1DCBD1A4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1. Definición de grupos: Se identifican grupos de comparación (por ejemplo, bandas de ingreso, regiones, género si disponible). Se selecciona un grupo de referencia y grupos protegidos.</w:t>
      </w:r>
    </w:p>
    <w:p w14:paraId="2F3652B3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2. Definición de la decisión: Se fija un umbral de PD que determina la aprobación del crédito.</w:t>
      </w:r>
    </w:p>
    <w:p w14:paraId="520F79DD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3. Cálculo de Disparate </w:t>
      </w:r>
      <w:proofErr w:type="spellStart"/>
      <w:r w:rsidRPr="00E5511F">
        <w:rPr>
          <w:lang w:val="es-MX"/>
        </w:rPr>
        <w:t>Impact</w:t>
      </w:r>
      <w:proofErr w:type="spellEnd"/>
      <w:r w:rsidRPr="00E5511F">
        <w:rPr>
          <w:lang w:val="es-MX"/>
        </w:rPr>
        <w:t>: Para cada grupo se calcula la tasa de aprobación y se relaciona con la tasa del grupo de referencia.</w:t>
      </w:r>
    </w:p>
    <w:p w14:paraId="36C2EF26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4. Cálculo de </w:t>
      </w:r>
      <w:proofErr w:type="spellStart"/>
      <w:r w:rsidRPr="00E5511F">
        <w:rPr>
          <w:lang w:val="es-MX"/>
        </w:rPr>
        <w:t>Equal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Opportunity</w:t>
      </w:r>
      <w:proofErr w:type="spellEnd"/>
      <w:r w:rsidRPr="00E5511F">
        <w:rPr>
          <w:lang w:val="es-MX"/>
        </w:rPr>
        <w:t xml:space="preserve"> y </w:t>
      </w:r>
      <w:proofErr w:type="spellStart"/>
      <w:r w:rsidRPr="00E5511F">
        <w:rPr>
          <w:lang w:val="es-MX"/>
        </w:rPr>
        <w:t>Equalized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Odds</w:t>
      </w:r>
      <w:proofErr w:type="spellEnd"/>
      <w:r w:rsidRPr="00E5511F">
        <w:rPr>
          <w:lang w:val="es-MX"/>
        </w:rPr>
        <w:t>: Se computan TPR y FPR por grupo usando la matriz de confusión. Se analiza la brecha entre grupos.</w:t>
      </w:r>
    </w:p>
    <w:p w14:paraId="6F5D52CD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5. Calibración por grupo: Se agrupan préstamos por rangos de PD y se compara la tasa de default observada con la predicha en cada grupo.</w:t>
      </w:r>
    </w:p>
    <w:p w14:paraId="6A3E860B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>6. Análisis de variables proxy: Se examinan correlaciones de variables geográficas o socioeconómicas con atributos sensibles.</w:t>
      </w:r>
    </w:p>
    <w:p w14:paraId="7BA952B2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lastRenderedPageBreak/>
        <w:t>7. Formulación de recomendaciones: Si se detectan disparidades significativas, se proponen ajustes en variables, umbrales o calibración. Se sugiere documentación transparente y procesos de revisión periódica.</w:t>
      </w:r>
    </w:p>
    <w:p w14:paraId="29D67CCA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t>Resultados Esperados</w:t>
      </w:r>
    </w:p>
    <w:p w14:paraId="247E0A41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Se esperan identificar diferencias moderadas en las tasas de aprobación y error entre grupos, aunque dentro de los límites de la regla del 80%. Se anticipa que la calibración por grupo muestre ligera variación que pueda mitigarse con recalibración. Es posible que ciertas variables geográficas actúen como </w:t>
      </w:r>
      <w:proofErr w:type="spellStart"/>
      <w:r w:rsidRPr="00E5511F">
        <w:rPr>
          <w:lang w:val="es-MX"/>
        </w:rPr>
        <w:t>proxies</w:t>
      </w:r>
      <w:proofErr w:type="spellEnd"/>
      <w:r w:rsidRPr="00E5511F">
        <w:rPr>
          <w:lang w:val="es-MX"/>
        </w:rPr>
        <w:t xml:space="preserve"> y deban ser ajustadas. El análisis proporcionará una lista de alertas y medidas correctivas para cada hallazgo.</w:t>
      </w:r>
    </w:p>
    <w:p w14:paraId="125C3449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t>Conclusiones</w:t>
      </w:r>
    </w:p>
    <w:p w14:paraId="764E91BC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t xml:space="preserve">La evaluación de </w:t>
      </w:r>
      <w:proofErr w:type="spellStart"/>
      <w:r w:rsidRPr="00E5511F">
        <w:rPr>
          <w:lang w:val="es-MX"/>
        </w:rPr>
        <w:t>fairness</w:t>
      </w:r>
      <w:proofErr w:type="spellEnd"/>
      <w:r w:rsidRPr="00E5511F">
        <w:rPr>
          <w:lang w:val="es-MX"/>
        </w:rPr>
        <w:t xml:space="preserve"> confirma la necesidad de monitorear continuamente la equidad en el otorgamiento de crédito. Si bien los modelos de regresión logística son interpretables, pueden incorporar sesgos a través de variables correlacionadas con atributos sensibles. Las métricas calculadas permiten detectar estas disparidades y tomar acciones como recalibrar, ajustar umbrales o excluir variables proxy. El cumplimiento de regulaciones de privacidad y ética profesional exige documentar los procesos y garantizar </w:t>
      </w:r>
      <w:proofErr w:type="spellStart"/>
      <w:r w:rsidRPr="00E5511F">
        <w:rPr>
          <w:lang w:val="es-MX"/>
        </w:rPr>
        <w:t>explicabilidad</w:t>
      </w:r>
      <w:proofErr w:type="spellEnd"/>
      <w:r w:rsidRPr="00E5511F">
        <w:rPr>
          <w:lang w:val="es-MX"/>
        </w:rPr>
        <w:t xml:space="preserve"> a los usuarios afectados.</w:t>
      </w:r>
    </w:p>
    <w:p w14:paraId="3F39C27F" w14:textId="328A1CCB" w:rsidR="005633EC" w:rsidRDefault="00000000">
      <w:pPr>
        <w:pStyle w:val="Ttulo1"/>
      </w:pPr>
      <w:proofErr w:type="spellStart"/>
      <w:r>
        <w:t>Bibliografía</w:t>
      </w:r>
      <w:proofErr w:type="spellEnd"/>
    </w:p>
    <w:p w14:paraId="25E75CE0" w14:textId="77777777" w:rsidR="005633EC" w:rsidRPr="00E5511F" w:rsidRDefault="00000000">
      <w:pPr>
        <w:rPr>
          <w:lang w:val="es-MX"/>
        </w:rPr>
      </w:pPr>
      <w:r>
        <w:t>• Feldman, M., Friedler, S., Moeller, J., Scheidegger, C., &amp; Venkatasubramanian, S. (2015). ‘Certifying and Removing Disparate Impact’.</w:t>
      </w:r>
      <w:r>
        <w:br/>
        <w:t>• Barocas, S., Hardt, M., &amp; Narayanan, A. (2019). ‘Fairness and Machine Learning’.</w:t>
      </w:r>
      <w:r>
        <w:br/>
      </w:r>
      <w:r w:rsidRPr="00E5511F">
        <w:rPr>
          <w:lang w:val="es-MX"/>
        </w:rPr>
        <w:t xml:space="preserve">• U.S. </w:t>
      </w:r>
      <w:proofErr w:type="spellStart"/>
      <w:r w:rsidRPr="00E5511F">
        <w:rPr>
          <w:lang w:val="es-MX"/>
        </w:rPr>
        <w:t>Equal</w:t>
      </w:r>
      <w:proofErr w:type="spellEnd"/>
      <w:r w:rsidRPr="00E5511F">
        <w:rPr>
          <w:lang w:val="es-MX"/>
        </w:rPr>
        <w:t xml:space="preserve"> Credit </w:t>
      </w:r>
      <w:proofErr w:type="spellStart"/>
      <w:r w:rsidRPr="00E5511F">
        <w:rPr>
          <w:lang w:val="es-MX"/>
        </w:rPr>
        <w:t>Opportunity</w:t>
      </w:r>
      <w:proofErr w:type="spellEnd"/>
      <w:r w:rsidRPr="00E5511F">
        <w:rPr>
          <w:lang w:val="es-MX"/>
        </w:rPr>
        <w:t xml:space="preserve"> </w:t>
      </w:r>
      <w:proofErr w:type="spellStart"/>
      <w:r w:rsidRPr="00E5511F">
        <w:rPr>
          <w:lang w:val="es-MX"/>
        </w:rPr>
        <w:t>Act</w:t>
      </w:r>
      <w:proofErr w:type="spellEnd"/>
      <w:r w:rsidRPr="00E5511F">
        <w:rPr>
          <w:lang w:val="es-MX"/>
        </w:rPr>
        <w:t xml:space="preserve"> (ECOA).</w:t>
      </w:r>
      <w:r w:rsidRPr="00E5511F">
        <w:rPr>
          <w:lang w:val="es-MX"/>
        </w:rPr>
        <w:br/>
        <w:t>• Reglamento General de Protección de Datos (GDPR).</w:t>
      </w:r>
      <w:r w:rsidRPr="00E5511F">
        <w:rPr>
          <w:lang w:val="es-MX"/>
        </w:rPr>
        <w:br/>
        <w:t>• COPNIA. ‘Código de Ética del Ingeniero’.</w:t>
      </w:r>
    </w:p>
    <w:p w14:paraId="37E2D5F1" w14:textId="77777777" w:rsidR="005633EC" w:rsidRPr="00E5511F" w:rsidRDefault="00000000">
      <w:pPr>
        <w:pStyle w:val="Ttulo1"/>
        <w:rPr>
          <w:lang w:val="es-MX"/>
        </w:rPr>
      </w:pPr>
      <w:r w:rsidRPr="00E5511F">
        <w:rPr>
          <w:lang w:val="es-MX"/>
        </w:rPr>
        <w:t xml:space="preserve">Anexo: Pseudocódigo de Evaluación de </w:t>
      </w:r>
      <w:proofErr w:type="spellStart"/>
      <w:r w:rsidRPr="00E5511F">
        <w:rPr>
          <w:lang w:val="es-MX"/>
        </w:rPr>
        <w:t>Fairness</w:t>
      </w:r>
      <w:proofErr w:type="spellEnd"/>
    </w:p>
    <w:p w14:paraId="14364CDB" w14:textId="77777777" w:rsidR="005633EC" w:rsidRPr="00E5511F" w:rsidRDefault="00000000">
      <w:pPr>
        <w:rPr>
          <w:lang w:val="es-MX"/>
        </w:rPr>
      </w:pPr>
      <w:r w:rsidRPr="00E5511F">
        <w:rPr>
          <w:lang w:val="es-MX"/>
        </w:rPr>
        <w:br/>
        <w:t>1. Definir el umbral de aprobación (p.ej. PD &lt;= 0.1).</w:t>
      </w:r>
      <w:r w:rsidRPr="00E5511F">
        <w:rPr>
          <w:lang w:val="es-MX"/>
        </w:rPr>
        <w:br/>
        <w:t>2. Identificar grupos de interés: regiones, bandas de ingreso, y cualquier atributo sensible disponible.</w:t>
      </w:r>
      <w:r w:rsidRPr="00E5511F">
        <w:rPr>
          <w:lang w:val="es-MX"/>
        </w:rPr>
        <w:br/>
        <w:t>3. Para cada grupo g:</w:t>
      </w:r>
      <w:r w:rsidRPr="00E5511F">
        <w:rPr>
          <w:lang w:val="es-MX"/>
        </w:rPr>
        <w:br/>
        <w:t xml:space="preserve">   - Calcular Disparate </w:t>
      </w:r>
      <w:proofErr w:type="spellStart"/>
      <w:r w:rsidRPr="00E5511F">
        <w:rPr>
          <w:lang w:val="es-MX"/>
        </w:rPr>
        <w:t>Impact</w:t>
      </w:r>
      <w:proofErr w:type="spellEnd"/>
      <w:r w:rsidRPr="00E5511F">
        <w:rPr>
          <w:lang w:val="es-MX"/>
        </w:rPr>
        <w:t xml:space="preserve">: </w:t>
      </w:r>
      <w:proofErr w:type="spellStart"/>
      <w:r w:rsidRPr="00E5511F">
        <w:rPr>
          <w:lang w:val="es-MX"/>
        </w:rPr>
        <w:t>DI_g</w:t>
      </w:r>
      <w:proofErr w:type="spellEnd"/>
      <w:r w:rsidRPr="00E5511F">
        <w:rPr>
          <w:lang w:val="es-MX"/>
        </w:rPr>
        <w:t xml:space="preserve"> = (</w:t>
      </w:r>
      <w:proofErr w:type="spellStart"/>
      <w:r w:rsidRPr="00E5511F">
        <w:rPr>
          <w:lang w:val="es-MX"/>
        </w:rPr>
        <w:t>Tasa_aprobación_g</w:t>
      </w:r>
      <w:proofErr w:type="spellEnd"/>
      <w:r w:rsidRPr="00E5511F">
        <w:rPr>
          <w:lang w:val="es-MX"/>
        </w:rPr>
        <w:t>) / (</w:t>
      </w:r>
      <w:proofErr w:type="spellStart"/>
      <w:r w:rsidRPr="00E5511F">
        <w:rPr>
          <w:lang w:val="es-MX"/>
        </w:rPr>
        <w:t>Tasa_aprobación_referencia</w:t>
      </w:r>
      <w:proofErr w:type="spellEnd"/>
      <w:r w:rsidRPr="00E5511F">
        <w:rPr>
          <w:lang w:val="es-MX"/>
        </w:rPr>
        <w:t>).</w:t>
      </w:r>
      <w:r w:rsidRPr="00E5511F">
        <w:rPr>
          <w:lang w:val="es-MX"/>
        </w:rPr>
        <w:br/>
        <w:t xml:space="preserve">   - Calcular </w:t>
      </w:r>
      <w:proofErr w:type="spellStart"/>
      <w:r w:rsidRPr="00E5511F">
        <w:rPr>
          <w:lang w:val="es-MX"/>
        </w:rPr>
        <w:t>TPR_g</w:t>
      </w:r>
      <w:proofErr w:type="spellEnd"/>
      <w:r w:rsidRPr="00E5511F">
        <w:rPr>
          <w:lang w:val="es-MX"/>
        </w:rPr>
        <w:t xml:space="preserve"> = </w:t>
      </w:r>
      <w:proofErr w:type="spellStart"/>
      <w:r w:rsidRPr="00E5511F">
        <w:rPr>
          <w:lang w:val="es-MX"/>
        </w:rPr>
        <w:t>TP_g</w:t>
      </w:r>
      <w:proofErr w:type="spellEnd"/>
      <w:r w:rsidRPr="00E5511F">
        <w:rPr>
          <w:lang w:val="es-MX"/>
        </w:rPr>
        <w:t xml:space="preserve"> / (</w:t>
      </w:r>
      <w:proofErr w:type="spellStart"/>
      <w:r w:rsidRPr="00E5511F">
        <w:rPr>
          <w:lang w:val="es-MX"/>
        </w:rPr>
        <w:t>TP_g</w:t>
      </w:r>
      <w:proofErr w:type="spellEnd"/>
      <w:r w:rsidRPr="00E5511F">
        <w:rPr>
          <w:lang w:val="es-MX"/>
        </w:rPr>
        <w:t xml:space="preserve"> + </w:t>
      </w:r>
      <w:proofErr w:type="spellStart"/>
      <w:r w:rsidRPr="00E5511F">
        <w:rPr>
          <w:lang w:val="es-MX"/>
        </w:rPr>
        <w:t>FN_g</w:t>
      </w:r>
      <w:proofErr w:type="spellEnd"/>
      <w:r w:rsidRPr="00E5511F">
        <w:rPr>
          <w:lang w:val="es-MX"/>
        </w:rPr>
        <w:t>).</w:t>
      </w:r>
      <w:r w:rsidRPr="00E5511F">
        <w:rPr>
          <w:lang w:val="es-MX"/>
        </w:rPr>
        <w:br/>
        <w:t xml:space="preserve">   - Calcular </w:t>
      </w:r>
      <w:proofErr w:type="spellStart"/>
      <w:r w:rsidRPr="00E5511F">
        <w:rPr>
          <w:lang w:val="es-MX"/>
        </w:rPr>
        <w:t>FPR_g</w:t>
      </w:r>
      <w:proofErr w:type="spellEnd"/>
      <w:r w:rsidRPr="00E5511F">
        <w:rPr>
          <w:lang w:val="es-MX"/>
        </w:rPr>
        <w:t xml:space="preserve"> = </w:t>
      </w:r>
      <w:proofErr w:type="spellStart"/>
      <w:r w:rsidRPr="00E5511F">
        <w:rPr>
          <w:lang w:val="es-MX"/>
        </w:rPr>
        <w:t>FP_g</w:t>
      </w:r>
      <w:proofErr w:type="spellEnd"/>
      <w:r w:rsidRPr="00E5511F">
        <w:rPr>
          <w:lang w:val="es-MX"/>
        </w:rPr>
        <w:t xml:space="preserve"> / (</w:t>
      </w:r>
      <w:proofErr w:type="spellStart"/>
      <w:r w:rsidRPr="00E5511F">
        <w:rPr>
          <w:lang w:val="es-MX"/>
        </w:rPr>
        <w:t>FP_g</w:t>
      </w:r>
      <w:proofErr w:type="spellEnd"/>
      <w:r w:rsidRPr="00E5511F">
        <w:rPr>
          <w:lang w:val="es-MX"/>
        </w:rPr>
        <w:t xml:space="preserve"> + </w:t>
      </w:r>
      <w:proofErr w:type="spellStart"/>
      <w:r w:rsidRPr="00E5511F">
        <w:rPr>
          <w:lang w:val="es-MX"/>
        </w:rPr>
        <w:t>TN_g</w:t>
      </w:r>
      <w:proofErr w:type="spellEnd"/>
      <w:r w:rsidRPr="00E5511F">
        <w:rPr>
          <w:lang w:val="es-MX"/>
        </w:rPr>
        <w:t>).</w:t>
      </w:r>
      <w:r w:rsidRPr="00E5511F">
        <w:rPr>
          <w:lang w:val="es-MX"/>
        </w:rPr>
        <w:br/>
        <w:t xml:space="preserve">   - Evaluar calibración por grupo comparando PD predicha vs tasa real de default.</w:t>
      </w:r>
      <w:r w:rsidRPr="00E5511F">
        <w:rPr>
          <w:lang w:val="es-MX"/>
        </w:rPr>
        <w:br/>
        <w:t>4. Evaluar significancia estadística de las diferencias usando intervalos de confianza.</w:t>
      </w:r>
      <w:r w:rsidRPr="00E5511F">
        <w:rPr>
          <w:lang w:val="es-MX"/>
        </w:rPr>
        <w:br/>
        <w:t xml:space="preserve">5. Generar alertas si </w:t>
      </w:r>
      <w:proofErr w:type="spellStart"/>
      <w:r w:rsidRPr="00E5511F">
        <w:rPr>
          <w:lang w:val="es-MX"/>
        </w:rPr>
        <w:t>DI_g</w:t>
      </w:r>
      <w:proofErr w:type="spellEnd"/>
      <w:r w:rsidRPr="00E5511F">
        <w:rPr>
          <w:lang w:val="es-MX"/>
        </w:rPr>
        <w:t xml:space="preserve"> &lt; 0.80, o si </w:t>
      </w:r>
      <w:proofErr w:type="spellStart"/>
      <w:r w:rsidRPr="00E5511F">
        <w:rPr>
          <w:lang w:val="es-MX"/>
        </w:rPr>
        <w:t>FPR_g</w:t>
      </w:r>
      <w:proofErr w:type="spellEnd"/>
      <w:r w:rsidRPr="00E5511F">
        <w:rPr>
          <w:lang w:val="es-MX"/>
        </w:rPr>
        <w:t xml:space="preserve"> supera el umbral nacional.</w:t>
      </w:r>
      <w:r w:rsidRPr="00E5511F">
        <w:rPr>
          <w:lang w:val="es-MX"/>
        </w:rPr>
        <w:br/>
      </w:r>
      <w:r w:rsidRPr="00E5511F">
        <w:rPr>
          <w:lang w:val="es-MX"/>
        </w:rPr>
        <w:lastRenderedPageBreak/>
        <w:t>6. Proponer mitigaciones: recalibración, revisión de variables proxy, ajustes de umbral.</w:t>
      </w:r>
      <w:r w:rsidRPr="00E5511F">
        <w:rPr>
          <w:lang w:val="es-MX"/>
        </w:rPr>
        <w:br/>
      </w:r>
    </w:p>
    <w:sectPr w:rsidR="005633EC" w:rsidRPr="00E55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457297">
    <w:abstractNumId w:val="8"/>
  </w:num>
  <w:num w:numId="2" w16cid:durableId="36130906">
    <w:abstractNumId w:val="6"/>
  </w:num>
  <w:num w:numId="3" w16cid:durableId="2037735911">
    <w:abstractNumId w:val="5"/>
  </w:num>
  <w:num w:numId="4" w16cid:durableId="989212308">
    <w:abstractNumId w:val="4"/>
  </w:num>
  <w:num w:numId="5" w16cid:durableId="1593200501">
    <w:abstractNumId w:val="7"/>
  </w:num>
  <w:num w:numId="6" w16cid:durableId="1682244080">
    <w:abstractNumId w:val="3"/>
  </w:num>
  <w:num w:numId="7" w16cid:durableId="580262240">
    <w:abstractNumId w:val="2"/>
  </w:num>
  <w:num w:numId="8" w16cid:durableId="966471749">
    <w:abstractNumId w:val="1"/>
  </w:num>
  <w:num w:numId="9" w16cid:durableId="73362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EC"/>
    <w:rsid w:val="00AA1D8D"/>
    <w:rsid w:val="00B47730"/>
    <w:rsid w:val="00CB0664"/>
    <w:rsid w:val="00E5511F"/>
    <w:rsid w:val="00EF3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13C85"/>
  <w14:defaultImageDpi w14:val="300"/>
  <w15:docId w15:val="{28B57B5B-F09C-4A60-A72F-A9A428C4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4380</Characters>
  <Application>Microsoft Office Word</Application>
  <DocSecurity>0</DocSecurity>
  <Lines>85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Andres Reyes Cuellar</cp:lastModifiedBy>
  <cp:revision>2</cp:revision>
  <dcterms:created xsi:type="dcterms:W3CDTF">2013-12-23T23:15:00Z</dcterms:created>
  <dcterms:modified xsi:type="dcterms:W3CDTF">2026-04-09T23:52:00Z</dcterms:modified>
  <cp:category/>
</cp:coreProperties>
</file>