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System Architecture Document – Credit Risk Platform</w:t>
      </w:r>
    </w:p>
    <w:p>
      <w:pPr>
        <w:jc w:val="center"/>
      </w:pPr>
      <w:r>
        <w:t>Fundación Universitaria San Mateo</w:t>
      </w:r>
    </w:p>
    <w:p>
      <w:pPr>
        <w:jc w:val="center"/>
      </w:pPr>
      <w:r>
        <w:t>Ingeniería de Sistemas</w:t>
      </w:r>
    </w:p>
    <w:p>
      <w:pPr>
        <w:jc w:val="center"/>
      </w:pPr>
      <w:r>
        <w:t>Materia Eje: Minería de Datos, Modelado y Simulación, Ética Profesional, Electiva 6: Fundamentos de la Transformación Digital</w:t>
      </w:r>
    </w:p>
    <w:p>
      <w:pPr>
        <w:spacing w:before="200"/>
      </w:pPr>
    </w:p>
    <w:p>
      <w:r>
        <w:t>Integrantes:</w:t>
      </w:r>
    </w:p>
    <w:p>
      <w:r>
        <w:t>Ruben Andres Reyes Cuellar, Jhon Palacio, Brayan Nemgua</w:t>
      </w:r>
    </w:p>
    <w:p>
      <w:r>
        <w:t>Fecha de entrega:</w:t>
      </w:r>
    </w:p>
    <w:p>
      <w:r>
        <w:t>23 de February de 2026</w:t>
      </w:r>
    </w:p>
    <w:p>
      <w:r>
        <w:br w:type="page"/>
      </w:r>
    </w:p>
    <w:p>
      <w:pPr>
        <w:pStyle w:val="Heading1"/>
      </w:pPr>
      <w:r>
        <w:t>Resumen Ejecutivo</w:t>
      </w:r>
    </w:p>
    <w:p>
      <w:r>
        <w:t>Este documento describe la arquitectura de la plataforma de riesgo de crédito desarrollada para estimar la Probabilidad de Default (PD) a 12 meses y soportar módulos de fairness y simulación. La arquitectura incluye capas de datos (Data Warehouse dimensional en MySQL), pipelines de extracción y construcción del dataset analítico, servicios de entrenamiento y scoring del modelo, módulos independientes de evaluación de equidad y simulación financiera, una API REST para integrar los servicios y un dashboard ejecutivo para visualización. Se enfatizan principios de modularidad, escalabilidad, seguridad y trazabilidad.</w:t>
      </w:r>
    </w:p>
    <w:p>
      <w:pPr>
        <w:pStyle w:val="Heading1"/>
      </w:pPr>
      <w:r>
        <w:t>Marco Teórico</w:t>
      </w:r>
    </w:p>
    <w:p>
      <w:r>
        <w:t>El diseño arquitectónico se fundamenta en la metodología dimensional de Kimball, donde el Data Warehouse se construye en un esquema en estrella que facilita consultas analíticas. Las tablas de hechos (e.g., fact_originations, fact_performance_snapshot) se relacionan con dimensiones como producto, cliente y geografía. La arquitectura analítica moderna se apoya en un pipeline ETL/ELT que alimenta un ‘analytic dataset’ orientado a modelos.</w:t>
      </w:r>
    </w:p>
    <w:p>
      <w:r>
        <w:t>Para soportar modelos de machine learning y módulos de fairness y simulación se adoptan principios de MLOps: separación entre entrenamiento y despliegue, versionado de modelos, y automonitorización. La integración mediante una API REST permite consumir los scores en tiempo real, mientras que los microservicios de fairness y simulación operan de forma desacoplada. La observabilidad se asegura mediante logging, métricas de performance y trazabilidad de entradas y salidas.</w:t>
      </w:r>
    </w:p>
    <w:p>
      <w:pPr>
        <w:pStyle w:val="Heading1"/>
      </w:pPr>
      <w:r>
        <w:t>Metodología / Diseño</w:t>
      </w:r>
    </w:p>
    <w:p>
      <w:r>
        <w:t>1. Capa de Datos: El Data Warehouse 'prestamos_dw' almacena datos históricos de originación y desempeño. Se construyen vistas materializadas para acelerar las consultas.</w:t>
      </w:r>
    </w:p>
    <w:p>
      <w:r>
        <w:t>2. Pipeline ETL/ELT: Se extraen datos de las tablas de hechos y dimensiones, se transforman para construir el dataset analítico (incluyendo el label default_12m y las variables de underwriting y de señales tempranas) y se cargan en un repositorio de características listo para el entrenamiento.</w:t>
      </w:r>
    </w:p>
    <w:p>
      <w:r>
        <w:t>3. Servicio de Entrenamiento: Este componente ejecuta los scripts de machine learning para entrenar la regresión logística con regularización. Incluye selección de hiperparámetros, calibración y generación de artefactos de modelo versionados.</w:t>
      </w:r>
    </w:p>
    <w:p>
      <w:r>
        <w:t>4. Servicio de Scoring (API): Una API REST expone un endpoint '/score' que recibe las variables de un nuevo préstamo y devuelve la PD estimada, así como otros endpoints para fairness y simulación.</w:t>
      </w:r>
    </w:p>
    <w:p>
      <w:r>
        <w:t>5. Módulo de Fairness: Microservicio que, dado un conjunto de scores y grupos, calcula métricas de disparate impact, equal opportunity y calibración por grupo, devolviendo alertas cuando se superan umbrales.</w:t>
      </w:r>
    </w:p>
    <w:p>
      <w:r>
        <w:t>6. Módulo de Simulación: Microservicio que realiza simulaciones Monte Carlo y stress testing para evaluar el impacto de cambios en tasas de interés, dti y condiciones macro.</w:t>
      </w:r>
    </w:p>
    <w:p>
      <w:r>
        <w:t>7. Dashboard Ejecutivo: Aplicación de visualización que consume datos de la API para mostrar KPIs estratégicos, mapas de riesgo geográfico y reportes de fairness y stress.</w:t>
      </w:r>
    </w:p>
    <w:p>
      <w:r>
        <w:t>8. Seguridad y Gobernanza: Se implementan controles de acceso basados en roles, cifrado de datos sensibles, auditoría de acciones, versionado de modelos y cumplimiento de GDPR y COPNIA.</w:t>
      </w:r>
    </w:p>
    <w:p>
      <w:pPr>
        <w:pStyle w:val="Heading1"/>
      </w:pPr>
      <w:r>
        <w:t>Resultados Esperados</w:t>
      </w:r>
    </w:p>
    <w:p>
      <w:r>
        <w:t>La arquitectura propuesta proporciona un entorno robusto para el entrenamiento y despliegue de modelos de riesgo de crédito. Se espera una mejora en la eficiencia de los procesos de análisis y una reducción del tiempo de scoring gracias a la API. La modularidad permite actualizar los componentes (modelo, fairness, simulación) de forma independiente, facilitando el mantenimiento. La observabilidad asegura detección temprana de fallos y drifts.</w:t>
      </w:r>
    </w:p>
    <w:p>
      <w:pPr>
        <w:pStyle w:val="Heading1"/>
      </w:pPr>
      <w:r>
        <w:t>Conclusiones</w:t>
      </w:r>
    </w:p>
    <w:p>
      <w:r>
        <w:t>La implementación de una arquitectura modular y escalable es esencial para soportar un sistema de riesgo de crédito de próxima generación. La separación de servicios y la integración vía API maximizan la flexibilidad, mientras que la adopción de prácticas de MLOps garantiza la robustez y reproducibilidad. Se recomienda documentar continuamente las interfaces y promover una cultura de colaboración entre equipos de datos, desarrollo y negocio.</w:t>
      </w:r>
    </w:p>
    <w:p>
      <w:pPr>
        <w:pStyle w:val="Heading1"/>
      </w:pPr>
      <w:r>
        <w:t>Bibliografía Sugerida</w:t>
      </w:r>
    </w:p>
    <w:p>
      <w:r>
        <w:t>• Kimball, R., &amp; Ross, M. (2013). ‘The Data Warehouse Toolkit’.</w:t>
        <w:br/>
        <w:t>• Brechner, E. (2016). ‘Designing a Data Warehouse for Credit Risk Management’.</w:t>
        <w:br/>
        <w:t>• MLOps. ‘Continuous Delivery and Automation Pipelines in Machine Learning’.</w:t>
        <w:br/>
        <w:t>• D. Gary. (2020). ‘Microservices Patterns and Best Practices’.</w:t>
        <w:br/>
        <w:t>• GDPR y COPNIA: documentación oficial sobre privacidad y ética.</w:t>
      </w:r>
    </w:p>
    <w:p>
      <w:pPr>
        <w:pStyle w:val="Heading1"/>
      </w:pPr>
      <w:r>
        <w:t>Anexo 1: Diccionario de Componentes</w:t>
      </w:r>
    </w:p>
    <w:tbl>
      <w:tblPr>
        <w:tblStyle w:val="LightList-Accent1"/>
        <w:tblW w:type="auto" w:w="0"/>
        <w:tblLook w:firstColumn="1" w:firstRow="1" w:lastColumn="0" w:lastRow="0" w:noHBand="0" w:noVBand="1" w:val="04A0"/>
      </w:tblPr>
      <w:tblGrid>
        <w:gridCol w:w="4320"/>
        <w:gridCol w:w="4320"/>
      </w:tblGrid>
      <w:tr>
        <w:tc>
          <w:tcPr>
            <w:tcW w:type="dxa" w:w="4320"/>
          </w:tcPr>
          <w:p>
            <w:r>
              <w:t>Componente</w:t>
            </w:r>
          </w:p>
        </w:tc>
        <w:tc>
          <w:tcPr>
            <w:tcW w:type="dxa" w:w="4320"/>
          </w:tcPr>
          <w:p>
            <w:r>
              <w:t>Descripción</w:t>
            </w:r>
          </w:p>
        </w:tc>
      </w:tr>
      <w:tr>
        <w:tc>
          <w:tcPr>
            <w:tcW w:type="dxa" w:w="4320"/>
          </w:tcPr>
          <w:p>
            <w:r>
              <w:t>Data Warehouse</w:t>
            </w:r>
          </w:p>
        </w:tc>
        <w:tc>
          <w:tcPr>
            <w:tcW w:type="dxa" w:w="4320"/>
          </w:tcPr>
          <w:p>
            <w:r>
              <w:t>Almacén dimensional (prestamos_dw) con tablas de hechos y dimensiones</w:t>
            </w:r>
          </w:p>
        </w:tc>
      </w:tr>
      <w:tr>
        <w:tc>
          <w:tcPr>
            <w:tcW w:type="dxa" w:w="4320"/>
          </w:tcPr>
          <w:p>
            <w:r>
              <w:t>Pipeline ETL/ELT</w:t>
            </w:r>
          </w:p>
        </w:tc>
        <w:tc>
          <w:tcPr>
            <w:tcW w:type="dxa" w:w="4320"/>
          </w:tcPr>
          <w:p>
            <w:r>
              <w:t>Proceso de extracción, transformación y carga para crear el dataset analítico</w:t>
            </w:r>
          </w:p>
        </w:tc>
      </w:tr>
      <w:tr>
        <w:tc>
          <w:tcPr>
            <w:tcW w:type="dxa" w:w="4320"/>
          </w:tcPr>
          <w:p>
            <w:r>
              <w:t>Servicio de Entrenamiento</w:t>
            </w:r>
          </w:p>
        </w:tc>
        <w:tc>
          <w:tcPr>
            <w:tcW w:type="dxa" w:w="4320"/>
          </w:tcPr>
          <w:p>
            <w:r>
              <w:t>Script y entorno de ML para entrenar el modelo</w:t>
            </w:r>
          </w:p>
        </w:tc>
      </w:tr>
      <w:tr>
        <w:tc>
          <w:tcPr>
            <w:tcW w:type="dxa" w:w="4320"/>
          </w:tcPr>
          <w:p>
            <w:r>
              <w:t>Servicio de Scoring (API)</w:t>
            </w:r>
          </w:p>
        </w:tc>
        <w:tc>
          <w:tcPr>
            <w:tcW w:type="dxa" w:w="4320"/>
          </w:tcPr>
          <w:p>
            <w:r>
              <w:t>Endpoint REST para consultar PD y métricas asociadas</w:t>
            </w:r>
          </w:p>
        </w:tc>
      </w:tr>
      <w:tr>
        <w:tc>
          <w:tcPr>
            <w:tcW w:type="dxa" w:w="4320"/>
          </w:tcPr>
          <w:p>
            <w:r>
              <w:t>Módulo de Fairness</w:t>
            </w:r>
          </w:p>
        </w:tc>
        <w:tc>
          <w:tcPr>
            <w:tcW w:type="dxa" w:w="4320"/>
          </w:tcPr>
          <w:p>
            <w:r>
              <w:t>Microservicio que calcula métricas de equidad</w:t>
            </w:r>
          </w:p>
        </w:tc>
      </w:tr>
      <w:tr>
        <w:tc>
          <w:tcPr>
            <w:tcW w:type="dxa" w:w="4320"/>
          </w:tcPr>
          <w:p>
            <w:r>
              <w:t>Módulo de Simulación</w:t>
            </w:r>
          </w:p>
        </w:tc>
        <w:tc>
          <w:tcPr>
            <w:tcW w:type="dxa" w:w="4320"/>
          </w:tcPr>
          <w:p>
            <w:r>
              <w:t>Microservicio para simulaciones Monte Carlo y stress testing</w:t>
            </w:r>
          </w:p>
        </w:tc>
      </w:tr>
      <w:tr>
        <w:tc>
          <w:tcPr>
            <w:tcW w:type="dxa" w:w="4320"/>
          </w:tcPr>
          <w:p>
            <w:r>
              <w:t>Dashboard</w:t>
            </w:r>
          </w:p>
        </w:tc>
        <w:tc>
          <w:tcPr>
            <w:tcW w:type="dxa" w:w="4320"/>
          </w:tcPr>
          <w:p>
            <w:r>
              <w:t>Herramienta de visualización de KPIs y alertas</w:t>
            </w:r>
          </w:p>
        </w:tc>
      </w:tr>
      <w:tr>
        <w:tc>
          <w:tcPr>
            <w:tcW w:type="dxa" w:w="4320"/>
          </w:tcPr>
          <w:p>
            <w:r>
              <w:t>Seguridad y Gobernanza</w:t>
            </w:r>
          </w:p>
        </w:tc>
        <w:tc>
          <w:tcPr>
            <w:tcW w:type="dxa" w:w="4320"/>
          </w:tcPr>
          <w:p>
            <w:r>
              <w:t>Controles de acceso, auditoría y cumplimiento regulatorio</w:t>
            </w:r>
          </w:p>
        </w:tc>
      </w:tr>
    </w:tbl>
    <w:p>
      <w:pPr>
        <w:pStyle w:val="Heading1"/>
      </w:pPr>
      <w:r>
        <w:t>Anexo 2: Diagrama y Pseudocódigo Arquitectónico</w:t>
      </w:r>
    </w:p>
    <w:p>
      <w:r>
        <w:br/>
        <w:t>System Architecture:</w:t>
        <w:br/>
        <w:t xml:space="preserve">  DataWarehouse:</w:t>
        <w:br/>
        <w:t xml:space="preserve">    type: MySQL</w:t>
        <w:br/>
        <w:t xml:space="preserve">    schema: star-schema</w:t>
        <w:br/>
        <w:t xml:space="preserve">  FeaturePipeline:</w:t>
        <w:br/>
        <w:t xml:space="preserve">    inputs: fact_originations, fact_performance_snapshot</w:t>
        <w:br/>
        <w:t xml:space="preserve">    outputs: analytic_dataset</w:t>
        <w:br/>
        <w:t xml:space="preserve">  ModelTrainingService:</w:t>
        <w:br/>
        <w:t xml:space="preserve">    algorithm: logistic_regression</w:t>
        <w:br/>
        <w:t xml:space="preserve">    regularization: L1/L2</w:t>
        <w:br/>
        <w:t xml:space="preserve">    calibration: platt_scaling</w:t>
        <w:br/>
        <w:t xml:space="preserve">  APIService:</w:t>
        <w:br/>
        <w:t xml:space="preserve">    endpoints:</w:t>
        <w:br/>
        <w:t xml:space="preserve">      - /score: returns PD and recommendations</w:t>
        <w:br/>
        <w:t xml:space="preserve">      - /fairness_report: returns fairness metrics</w:t>
        <w:br/>
        <w:t xml:space="preserve">      - /simulation: runs Monte Carlo and stress tests</w:t>
        <w:br/>
        <w:t xml:space="preserve">  FairnessService:</w:t>
        <w:br/>
        <w:t xml:space="preserve">    metrics: DI, TPR, FPR, calibration_by_group</w:t>
        <w:br/>
        <w:t xml:space="preserve">  SimulationService:</w:t>
        <w:br/>
        <w:t xml:space="preserve">    scenarios: interest_rate, dti, macro_shocks</w:t>
        <w:br/>
        <w:t xml:space="preserve">  DashboardService:</w:t>
        <w:br/>
        <w:t xml:space="preserve">    visualizations: KPIs, geo heatmaps, fairness alerts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