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23B5" w14:textId="77777777" w:rsidR="00B738B1" w:rsidRDefault="00000000">
      <w:pPr>
        <w:jc w:val="center"/>
      </w:pPr>
      <w:r>
        <w:rPr>
          <w:b/>
          <w:sz w:val="40"/>
        </w:rPr>
        <w:t>Strategic Impact &amp; Digital Transformation – Credit Risk</w:t>
      </w:r>
    </w:p>
    <w:p w14:paraId="5AE99F0F" w14:textId="77777777" w:rsidR="00B738B1" w:rsidRPr="00C50A42" w:rsidRDefault="00000000">
      <w:pPr>
        <w:jc w:val="center"/>
        <w:rPr>
          <w:lang w:val="es-MX"/>
        </w:rPr>
      </w:pPr>
      <w:r w:rsidRPr="00C50A42">
        <w:rPr>
          <w:lang w:val="es-MX"/>
        </w:rPr>
        <w:t>Fundación Universitaria San Mateo</w:t>
      </w:r>
    </w:p>
    <w:p w14:paraId="4F87E727" w14:textId="77777777" w:rsidR="00B738B1" w:rsidRPr="00C50A42" w:rsidRDefault="00000000">
      <w:pPr>
        <w:jc w:val="center"/>
        <w:rPr>
          <w:lang w:val="es-MX"/>
        </w:rPr>
      </w:pPr>
      <w:r w:rsidRPr="00C50A42">
        <w:rPr>
          <w:lang w:val="es-MX"/>
        </w:rPr>
        <w:t>Ingeniería de Sistemas</w:t>
      </w:r>
    </w:p>
    <w:p w14:paraId="2BBBA1CE" w14:textId="77777777" w:rsidR="00B738B1" w:rsidRPr="00C50A42" w:rsidRDefault="00000000">
      <w:pPr>
        <w:jc w:val="center"/>
        <w:rPr>
          <w:lang w:val="es-MX"/>
        </w:rPr>
      </w:pPr>
      <w:r w:rsidRPr="00C50A42">
        <w:rPr>
          <w:lang w:val="es-MX"/>
        </w:rPr>
        <w:t>Materia Eje: Minería de Datos, Modelado y Simulación, Ética Profesional, Electiva 6: Fundamentos de la Transformación Digital</w:t>
      </w:r>
    </w:p>
    <w:p w14:paraId="583B1F1F" w14:textId="77777777" w:rsidR="00B738B1" w:rsidRPr="00C50A42" w:rsidRDefault="00B738B1">
      <w:pPr>
        <w:spacing w:before="200"/>
        <w:rPr>
          <w:lang w:val="es-MX"/>
        </w:rPr>
      </w:pPr>
    </w:p>
    <w:p w14:paraId="6F25C672" w14:textId="77777777" w:rsidR="00B738B1" w:rsidRPr="00C50A42" w:rsidRDefault="00000000">
      <w:pPr>
        <w:rPr>
          <w:lang w:val="es-MX"/>
        </w:rPr>
      </w:pPr>
      <w:r w:rsidRPr="00C50A42">
        <w:rPr>
          <w:lang w:val="es-MX"/>
        </w:rPr>
        <w:t>Integrantes:</w:t>
      </w:r>
    </w:p>
    <w:p w14:paraId="173AE99E" w14:textId="77777777" w:rsidR="00B738B1" w:rsidRPr="00C50A42" w:rsidRDefault="00000000">
      <w:pPr>
        <w:rPr>
          <w:lang w:val="es-MX"/>
        </w:rPr>
      </w:pPr>
      <w:r w:rsidRPr="00C50A42">
        <w:rPr>
          <w:lang w:val="es-MX"/>
        </w:rPr>
        <w:t xml:space="preserve">Ruben Andres Reyes Cuellar, </w:t>
      </w:r>
      <w:proofErr w:type="spellStart"/>
      <w:r w:rsidRPr="00C50A42">
        <w:rPr>
          <w:lang w:val="es-MX"/>
        </w:rPr>
        <w:t>Jhon</w:t>
      </w:r>
      <w:proofErr w:type="spellEnd"/>
      <w:r w:rsidRPr="00C50A42">
        <w:rPr>
          <w:lang w:val="es-MX"/>
        </w:rPr>
        <w:t xml:space="preserve"> Palacio, Brayan </w:t>
      </w:r>
      <w:proofErr w:type="spellStart"/>
      <w:r w:rsidRPr="00C50A42">
        <w:rPr>
          <w:lang w:val="es-MX"/>
        </w:rPr>
        <w:t>Nemgua</w:t>
      </w:r>
      <w:proofErr w:type="spellEnd"/>
    </w:p>
    <w:p w14:paraId="4A2122F2" w14:textId="77777777" w:rsidR="00B738B1" w:rsidRPr="00C50A42" w:rsidRDefault="00000000">
      <w:pPr>
        <w:rPr>
          <w:lang w:val="es-MX"/>
        </w:rPr>
      </w:pPr>
      <w:r w:rsidRPr="00C50A42">
        <w:rPr>
          <w:lang w:val="es-MX"/>
        </w:rPr>
        <w:t>Fecha de entrega:</w:t>
      </w:r>
    </w:p>
    <w:p w14:paraId="744681DE" w14:textId="77777777" w:rsidR="00B738B1" w:rsidRPr="00C50A42" w:rsidRDefault="00000000">
      <w:pPr>
        <w:rPr>
          <w:lang w:val="es-MX"/>
        </w:rPr>
      </w:pPr>
      <w:r w:rsidRPr="00C50A42">
        <w:rPr>
          <w:lang w:val="es-MX"/>
        </w:rPr>
        <w:t xml:space="preserve">23 de </w:t>
      </w:r>
      <w:proofErr w:type="spellStart"/>
      <w:r w:rsidRPr="00C50A42">
        <w:rPr>
          <w:lang w:val="es-MX"/>
        </w:rPr>
        <w:t>February</w:t>
      </w:r>
      <w:proofErr w:type="spellEnd"/>
      <w:r w:rsidRPr="00C50A42">
        <w:rPr>
          <w:lang w:val="es-MX"/>
        </w:rPr>
        <w:t xml:space="preserve"> de 2026</w:t>
      </w:r>
    </w:p>
    <w:p w14:paraId="4FF10753" w14:textId="77777777" w:rsidR="00B738B1" w:rsidRPr="00C50A42" w:rsidRDefault="00000000">
      <w:pPr>
        <w:rPr>
          <w:lang w:val="es-MX"/>
        </w:rPr>
      </w:pPr>
      <w:r w:rsidRPr="00C50A42">
        <w:rPr>
          <w:lang w:val="es-MX"/>
        </w:rPr>
        <w:br w:type="page"/>
      </w:r>
    </w:p>
    <w:p w14:paraId="6CB2E7B9" w14:textId="77777777" w:rsidR="00B738B1" w:rsidRPr="00C50A42" w:rsidRDefault="00000000">
      <w:pPr>
        <w:pStyle w:val="Ttulo1"/>
        <w:rPr>
          <w:lang w:val="es-MX"/>
        </w:rPr>
      </w:pPr>
      <w:r w:rsidRPr="00C50A42">
        <w:rPr>
          <w:lang w:val="es-MX"/>
        </w:rPr>
        <w:lastRenderedPageBreak/>
        <w:t>Resumen Ejecutivo</w:t>
      </w:r>
    </w:p>
    <w:p w14:paraId="2670859E" w14:textId="77777777" w:rsidR="00B738B1" w:rsidRPr="00C50A42" w:rsidRDefault="00000000">
      <w:pPr>
        <w:rPr>
          <w:lang w:val="es-MX"/>
        </w:rPr>
      </w:pPr>
      <w:r w:rsidRPr="00C50A42">
        <w:rPr>
          <w:lang w:val="es-MX"/>
        </w:rPr>
        <w:t xml:space="preserve">Este documento analiza el impacto estratégico y la transformación digital que supone implementar la plataforma inteligente de riesgo de crédito. Se identifican los beneficios en términos de eficiencia operativa, reducción de pérdidas esperadas, mejora del retorno ajustado por riesgo (ROA), y cumplimiento de normas de equidad y privacidad. También se propone un </w:t>
      </w:r>
      <w:proofErr w:type="spellStart"/>
      <w:r w:rsidRPr="00C50A42">
        <w:rPr>
          <w:lang w:val="es-MX"/>
        </w:rPr>
        <w:t>roadmap</w:t>
      </w:r>
      <w:proofErr w:type="spellEnd"/>
      <w:r w:rsidRPr="00C50A42">
        <w:rPr>
          <w:lang w:val="es-MX"/>
        </w:rPr>
        <w:t xml:space="preserve"> de transformación digital que integra analítica avanzada, procesos de ética profesional y fundamentos de transformación digital.</w:t>
      </w:r>
    </w:p>
    <w:p w14:paraId="45C2B6F8" w14:textId="77777777" w:rsidR="00B738B1" w:rsidRPr="00C50A42" w:rsidRDefault="00000000">
      <w:pPr>
        <w:pStyle w:val="Ttulo1"/>
        <w:rPr>
          <w:lang w:val="es-MX"/>
        </w:rPr>
      </w:pPr>
      <w:r w:rsidRPr="00C50A42">
        <w:rPr>
          <w:lang w:val="es-MX"/>
        </w:rPr>
        <w:t>Marco Teórico</w:t>
      </w:r>
    </w:p>
    <w:p w14:paraId="59F22740" w14:textId="77777777" w:rsidR="00B738B1" w:rsidRPr="00C50A42" w:rsidRDefault="00000000">
      <w:pPr>
        <w:rPr>
          <w:lang w:val="es-MX"/>
        </w:rPr>
      </w:pPr>
      <w:r w:rsidRPr="00C50A42">
        <w:rPr>
          <w:lang w:val="es-MX"/>
        </w:rPr>
        <w:t xml:space="preserve">La transformación digital en banca implica el uso de tecnologías emergentes para optimizar procesos y crear valor para clientes y stakeholders. Los sistemas de análisis de riesgo basados en datos constituyen un pilar de esta transformación, apoyándose en </w:t>
      </w:r>
      <w:proofErr w:type="spellStart"/>
      <w:r w:rsidRPr="00C50A42">
        <w:rPr>
          <w:lang w:val="es-MX"/>
        </w:rPr>
        <w:t>big</w:t>
      </w:r>
      <w:proofErr w:type="spellEnd"/>
      <w:r w:rsidRPr="00C50A42">
        <w:rPr>
          <w:lang w:val="es-MX"/>
        </w:rPr>
        <w:t xml:space="preserve"> data, machine </w:t>
      </w:r>
      <w:proofErr w:type="spellStart"/>
      <w:r w:rsidRPr="00C50A42">
        <w:rPr>
          <w:lang w:val="es-MX"/>
        </w:rPr>
        <w:t>learning</w:t>
      </w:r>
      <w:proofErr w:type="spellEnd"/>
      <w:r w:rsidRPr="00C50A42">
        <w:rPr>
          <w:lang w:val="es-MX"/>
        </w:rPr>
        <w:t xml:space="preserve"> y </w:t>
      </w:r>
      <w:proofErr w:type="spellStart"/>
      <w:r w:rsidRPr="00C50A42">
        <w:rPr>
          <w:lang w:val="es-MX"/>
        </w:rPr>
        <w:t>cloud</w:t>
      </w:r>
      <w:proofErr w:type="spellEnd"/>
      <w:r w:rsidRPr="00C50A42">
        <w:rPr>
          <w:lang w:val="es-MX"/>
        </w:rPr>
        <w:t>. La gestión basada en datos permite decisiones más precisas y transparentes, mejorando la asignación de capital y la experiencia del cliente.</w:t>
      </w:r>
    </w:p>
    <w:p w14:paraId="39D8B651" w14:textId="77777777" w:rsidR="00B738B1" w:rsidRPr="00C50A42" w:rsidRDefault="00000000">
      <w:pPr>
        <w:rPr>
          <w:lang w:val="es-MX"/>
        </w:rPr>
      </w:pPr>
      <w:r w:rsidRPr="00C50A42">
        <w:rPr>
          <w:lang w:val="es-MX"/>
        </w:rPr>
        <w:t>Se aplican conceptos de Minería de Datos para extraer patrones de default, Modelado y Simulación para predecir pérdidas y elasticidades, Ética Profesional para asegurar un proceso responsable y justo, y Fundamentos de la Transformación Digital para alinear la organización con una cultura de innovación.</w:t>
      </w:r>
    </w:p>
    <w:p w14:paraId="49D702C3" w14:textId="77777777" w:rsidR="00B738B1" w:rsidRPr="00C50A42" w:rsidRDefault="00000000">
      <w:pPr>
        <w:pStyle w:val="Ttulo1"/>
        <w:rPr>
          <w:lang w:val="es-MX"/>
        </w:rPr>
      </w:pPr>
      <w:r w:rsidRPr="00C50A42">
        <w:rPr>
          <w:lang w:val="es-MX"/>
        </w:rPr>
        <w:t>Metodología</w:t>
      </w:r>
    </w:p>
    <w:p w14:paraId="5891DBAA" w14:textId="77777777" w:rsidR="00B738B1" w:rsidRPr="00C50A42" w:rsidRDefault="00000000">
      <w:pPr>
        <w:rPr>
          <w:lang w:val="es-MX"/>
        </w:rPr>
      </w:pPr>
      <w:r w:rsidRPr="00C50A42">
        <w:rPr>
          <w:lang w:val="es-MX"/>
        </w:rPr>
        <w:t>1. Mapeo de Stakeholders: Identificar áreas de riesgo, negocio, cumplimiento y tecnología.</w:t>
      </w:r>
    </w:p>
    <w:p w14:paraId="6EA4E704" w14:textId="77777777" w:rsidR="00B738B1" w:rsidRPr="00C50A42" w:rsidRDefault="00000000">
      <w:pPr>
        <w:rPr>
          <w:lang w:val="es-MX"/>
        </w:rPr>
      </w:pPr>
      <w:r w:rsidRPr="00C50A42">
        <w:rPr>
          <w:lang w:val="es-MX"/>
        </w:rPr>
        <w:t xml:space="preserve">2. Identificación de Casos de Uso: </w:t>
      </w:r>
      <w:proofErr w:type="spellStart"/>
      <w:r w:rsidRPr="00C50A42">
        <w:rPr>
          <w:lang w:val="es-MX"/>
        </w:rPr>
        <w:t>Originación</w:t>
      </w:r>
      <w:proofErr w:type="spellEnd"/>
      <w:r w:rsidRPr="00C50A42">
        <w:rPr>
          <w:lang w:val="es-MX"/>
        </w:rPr>
        <w:t xml:space="preserve">, gestión temprana de morosidad, </w:t>
      </w:r>
      <w:proofErr w:type="spellStart"/>
      <w:r w:rsidRPr="00C50A42">
        <w:rPr>
          <w:lang w:val="es-MX"/>
        </w:rPr>
        <w:t>pricing</w:t>
      </w:r>
      <w:proofErr w:type="spellEnd"/>
      <w:r w:rsidRPr="00C50A42">
        <w:rPr>
          <w:lang w:val="es-MX"/>
        </w:rPr>
        <w:t xml:space="preserve"> dinámico, simulación de escenarios y análisis de equidad.</w:t>
      </w:r>
    </w:p>
    <w:p w14:paraId="473F71A0" w14:textId="77777777" w:rsidR="00B738B1" w:rsidRPr="00C50A42" w:rsidRDefault="00000000">
      <w:pPr>
        <w:rPr>
          <w:lang w:val="es-MX"/>
        </w:rPr>
      </w:pPr>
      <w:r w:rsidRPr="00C50A42">
        <w:rPr>
          <w:lang w:val="es-MX"/>
        </w:rPr>
        <w:t xml:space="preserve">3. Definición de KPIs y </w:t>
      </w:r>
      <w:proofErr w:type="spellStart"/>
      <w:r w:rsidRPr="00C50A42">
        <w:rPr>
          <w:lang w:val="es-MX"/>
        </w:rPr>
        <w:t>OKRs</w:t>
      </w:r>
      <w:proofErr w:type="spellEnd"/>
      <w:r w:rsidRPr="00C50A42">
        <w:rPr>
          <w:lang w:val="es-MX"/>
        </w:rPr>
        <w:t xml:space="preserve">: Establecer métricas como Default Rate, PD promedio, </w:t>
      </w:r>
      <w:proofErr w:type="spellStart"/>
      <w:r w:rsidRPr="00C50A42">
        <w:rPr>
          <w:lang w:val="es-MX"/>
        </w:rPr>
        <w:t>Expected</w:t>
      </w:r>
      <w:proofErr w:type="spellEnd"/>
      <w:r w:rsidRPr="00C50A42">
        <w:rPr>
          <w:lang w:val="es-MX"/>
        </w:rPr>
        <w:t xml:space="preserve"> Loss, ROA ajustado, métricas de </w:t>
      </w:r>
      <w:proofErr w:type="spellStart"/>
      <w:r w:rsidRPr="00C50A42">
        <w:rPr>
          <w:lang w:val="es-MX"/>
        </w:rPr>
        <w:t>fairness</w:t>
      </w:r>
      <w:proofErr w:type="spellEnd"/>
      <w:r w:rsidRPr="00C50A42">
        <w:rPr>
          <w:lang w:val="es-MX"/>
        </w:rPr>
        <w:t xml:space="preserve"> y velocidad de </w:t>
      </w:r>
      <w:proofErr w:type="spellStart"/>
      <w:r w:rsidRPr="00C50A42">
        <w:rPr>
          <w:lang w:val="es-MX"/>
        </w:rPr>
        <w:t>scoring</w:t>
      </w:r>
      <w:proofErr w:type="spellEnd"/>
      <w:r w:rsidRPr="00C50A42">
        <w:rPr>
          <w:lang w:val="es-MX"/>
        </w:rPr>
        <w:t>.</w:t>
      </w:r>
    </w:p>
    <w:p w14:paraId="67F6D3A0" w14:textId="77777777" w:rsidR="00B738B1" w:rsidRPr="00C50A42" w:rsidRDefault="00000000">
      <w:pPr>
        <w:rPr>
          <w:lang w:val="es-MX"/>
        </w:rPr>
      </w:pPr>
      <w:r w:rsidRPr="00C50A42">
        <w:rPr>
          <w:lang w:val="es-MX"/>
        </w:rPr>
        <w:t xml:space="preserve">4. </w:t>
      </w:r>
      <w:proofErr w:type="spellStart"/>
      <w:r w:rsidRPr="00C50A42">
        <w:rPr>
          <w:lang w:val="es-MX"/>
        </w:rPr>
        <w:t>Roadmap</w:t>
      </w:r>
      <w:proofErr w:type="spellEnd"/>
      <w:r w:rsidRPr="00C50A42">
        <w:rPr>
          <w:lang w:val="es-MX"/>
        </w:rPr>
        <w:t xml:space="preserve"> de Transformación: </w:t>
      </w:r>
      <w:r w:rsidRPr="00C50A42">
        <w:rPr>
          <w:lang w:val="es-MX"/>
        </w:rPr>
        <w:br/>
        <w:t xml:space="preserve">   - Fase 1: Construir infraestructura de datos y modelos. </w:t>
      </w:r>
      <w:r w:rsidRPr="00C50A42">
        <w:rPr>
          <w:lang w:val="es-MX"/>
        </w:rPr>
        <w:br/>
        <w:t xml:space="preserve">   - Fase 2: Integrar módulos de </w:t>
      </w:r>
      <w:proofErr w:type="spellStart"/>
      <w:r w:rsidRPr="00C50A42">
        <w:rPr>
          <w:lang w:val="es-MX"/>
        </w:rPr>
        <w:t>fairness</w:t>
      </w:r>
      <w:proofErr w:type="spellEnd"/>
      <w:r w:rsidRPr="00C50A42">
        <w:rPr>
          <w:lang w:val="es-MX"/>
        </w:rPr>
        <w:t xml:space="preserve"> y simulación; desplegar API y </w:t>
      </w:r>
      <w:proofErr w:type="spellStart"/>
      <w:r w:rsidRPr="00C50A42">
        <w:rPr>
          <w:lang w:val="es-MX"/>
        </w:rPr>
        <w:t>dashboard</w:t>
      </w:r>
      <w:proofErr w:type="spellEnd"/>
      <w:r w:rsidRPr="00C50A42">
        <w:rPr>
          <w:lang w:val="es-MX"/>
        </w:rPr>
        <w:t xml:space="preserve">. </w:t>
      </w:r>
      <w:r w:rsidRPr="00C50A42">
        <w:rPr>
          <w:lang w:val="es-MX"/>
        </w:rPr>
        <w:br/>
        <w:t xml:space="preserve">   - Fase 3: Escalar a todos los productos crediticios; capacitar al personal y ajustar procesos.</w:t>
      </w:r>
    </w:p>
    <w:p w14:paraId="03218C6D" w14:textId="77777777" w:rsidR="00B738B1" w:rsidRPr="00C50A42" w:rsidRDefault="00000000">
      <w:pPr>
        <w:rPr>
          <w:lang w:val="es-MX"/>
        </w:rPr>
      </w:pPr>
      <w:r w:rsidRPr="00C50A42">
        <w:rPr>
          <w:lang w:val="es-MX"/>
        </w:rPr>
        <w:t>5. Gestión del Cambio: Diseñar un plan de comunicación y entrenamiento para adoptar la cultura data-</w:t>
      </w:r>
      <w:proofErr w:type="spellStart"/>
      <w:r w:rsidRPr="00C50A42">
        <w:rPr>
          <w:lang w:val="es-MX"/>
        </w:rPr>
        <w:t>driven</w:t>
      </w:r>
      <w:proofErr w:type="spellEnd"/>
      <w:r w:rsidRPr="00C50A42">
        <w:rPr>
          <w:lang w:val="es-MX"/>
        </w:rPr>
        <w:t xml:space="preserve"> y asegurar el uso ético del sistema.</w:t>
      </w:r>
    </w:p>
    <w:p w14:paraId="3914E945" w14:textId="77777777" w:rsidR="00B738B1" w:rsidRPr="00C50A42" w:rsidRDefault="00000000">
      <w:pPr>
        <w:pStyle w:val="Ttulo1"/>
        <w:rPr>
          <w:lang w:val="es-MX"/>
        </w:rPr>
      </w:pPr>
      <w:r w:rsidRPr="00C50A42">
        <w:rPr>
          <w:lang w:val="es-MX"/>
        </w:rPr>
        <w:t>Resultados Esperados</w:t>
      </w:r>
    </w:p>
    <w:p w14:paraId="7245D455" w14:textId="77777777" w:rsidR="00B738B1" w:rsidRPr="00C50A42" w:rsidRDefault="00000000">
      <w:pPr>
        <w:rPr>
          <w:lang w:val="es-MX"/>
        </w:rPr>
      </w:pPr>
      <w:r w:rsidRPr="00C50A42">
        <w:rPr>
          <w:lang w:val="es-MX"/>
        </w:rPr>
        <w:t xml:space="preserve">La implementación de la plataforma se traducirá en una reducción de la pérdida esperada gracias a modelos más precisos y segmentados; se espera un aumento del ROA ajustado al disminuir la morosidad. Los procesos serán más rápidos y homogéneos, con una </w:t>
      </w:r>
      <w:r w:rsidRPr="00C50A42">
        <w:rPr>
          <w:lang w:val="es-MX"/>
        </w:rPr>
        <w:lastRenderedPageBreak/>
        <w:t>disminución del time-</w:t>
      </w:r>
      <w:proofErr w:type="spellStart"/>
      <w:r w:rsidRPr="00C50A42">
        <w:rPr>
          <w:lang w:val="es-MX"/>
        </w:rPr>
        <w:t>to</w:t>
      </w:r>
      <w:proofErr w:type="spellEnd"/>
      <w:r w:rsidRPr="00C50A42">
        <w:rPr>
          <w:lang w:val="es-MX"/>
        </w:rPr>
        <w:t xml:space="preserve">-yes en solicitudes aprobadas. Además, la capacidad de evaluar </w:t>
      </w:r>
      <w:proofErr w:type="spellStart"/>
      <w:r w:rsidRPr="00C50A42">
        <w:rPr>
          <w:lang w:val="es-MX"/>
        </w:rPr>
        <w:t>fairness</w:t>
      </w:r>
      <w:proofErr w:type="spellEnd"/>
      <w:r w:rsidRPr="00C50A42">
        <w:rPr>
          <w:lang w:val="es-MX"/>
        </w:rPr>
        <w:t xml:space="preserve"> y simular escenarios mejorará la transparencia y el cumplimiento regulatorio.</w:t>
      </w:r>
    </w:p>
    <w:p w14:paraId="7BEFB0AB" w14:textId="77777777" w:rsidR="00B738B1" w:rsidRPr="00C50A42" w:rsidRDefault="00000000">
      <w:pPr>
        <w:pStyle w:val="Ttulo1"/>
        <w:rPr>
          <w:lang w:val="es-MX"/>
        </w:rPr>
      </w:pPr>
      <w:r w:rsidRPr="00C50A42">
        <w:rPr>
          <w:lang w:val="es-MX"/>
        </w:rPr>
        <w:t>Conclusiones</w:t>
      </w:r>
    </w:p>
    <w:p w14:paraId="355990A0" w14:textId="77777777" w:rsidR="00B738B1" w:rsidRPr="00C50A42" w:rsidRDefault="00000000">
      <w:pPr>
        <w:rPr>
          <w:lang w:val="es-MX"/>
        </w:rPr>
      </w:pPr>
      <w:r w:rsidRPr="00C50A42">
        <w:rPr>
          <w:lang w:val="es-MX"/>
        </w:rPr>
        <w:t xml:space="preserve">La transformación digital en el ámbito del riesgo de crédito no solo implica la incorporación de nuevas tecnologías, sino también un cambio cultural y organizativo. La plataforma propuesta demuestra cómo la integración de analítica avanzada, </w:t>
      </w:r>
      <w:proofErr w:type="spellStart"/>
      <w:r w:rsidRPr="00C50A42">
        <w:rPr>
          <w:lang w:val="es-MX"/>
        </w:rPr>
        <w:t>fairness</w:t>
      </w:r>
      <w:proofErr w:type="spellEnd"/>
      <w:r w:rsidRPr="00C50A42">
        <w:rPr>
          <w:lang w:val="es-MX"/>
        </w:rPr>
        <w:t xml:space="preserve"> y simulación puede aumentar la eficiencia y la ética en las decisiones crediticias. Se recomienda continuar midiendo los KPIs, ajustar estrategias según los resultados y mantener un diálogo constante con las áreas de negocio y cumplimiento.</w:t>
      </w:r>
    </w:p>
    <w:p w14:paraId="480E1162" w14:textId="027571C9" w:rsidR="00B738B1" w:rsidRDefault="00000000">
      <w:pPr>
        <w:pStyle w:val="Ttulo1"/>
      </w:pPr>
      <w:proofErr w:type="spellStart"/>
      <w:r>
        <w:t>Bibliografía</w:t>
      </w:r>
      <w:proofErr w:type="spellEnd"/>
    </w:p>
    <w:p w14:paraId="5EBDAC79" w14:textId="77777777" w:rsidR="00B738B1" w:rsidRPr="00C50A42" w:rsidRDefault="00000000">
      <w:pPr>
        <w:rPr>
          <w:lang w:val="es-MX"/>
        </w:rPr>
      </w:pPr>
      <w:r>
        <w:t>• Rogers, D. L. (2016). ‘The Digital Transformation Playbook’.</w:t>
      </w:r>
      <w:r>
        <w:br/>
        <w:t>• Davenport, T. H., &amp; Harris, J. G. (2007). ‘Competing on Analytics’.</w:t>
      </w:r>
      <w:r>
        <w:br/>
        <w:t>• World Economic Forum. ‘Transforming Paradigms: A Global AI in Finance Initiative’.</w:t>
      </w:r>
      <w:r>
        <w:br/>
        <w:t>• Gans, J. (2019). ‘AI &amp; Strategy: The Tactical and Strategic Aspects of Digital Transformation’.</w:t>
      </w:r>
      <w:r>
        <w:br/>
      </w:r>
      <w:r w:rsidRPr="00C50A42">
        <w:rPr>
          <w:lang w:val="es-MX"/>
        </w:rPr>
        <w:t>• Guías de ética profesional y transformación digital colombianas.</w:t>
      </w:r>
    </w:p>
    <w:p w14:paraId="2D8E8FED" w14:textId="77777777" w:rsidR="00B738B1" w:rsidRPr="00C50A42" w:rsidRDefault="00000000">
      <w:pPr>
        <w:pStyle w:val="Ttulo1"/>
        <w:rPr>
          <w:lang w:val="es-MX"/>
        </w:rPr>
      </w:pPr>
      <w:r w:rsidRPr="00C50A42">
        <w:rPr>
          <w:lang w:val="es-MX"/>
        </w:rPr>
        <w:t xml:space="preserve">Anexo: Lista de KPIs y </w:t>
      </w:r>
      <w:proofErr w:type="spellStart"/>
      <w:r w:rsidRPr="00C50A42">
        <w:rPr>
          <w:lang w:val="es-MX"/>
        </w:rPr>
        <w:t>Roadmap</w:t>
      </w:r>
      <w:proofErr w:type="spellEnd"/>
    </w:p>
    <w:tbl>
      <w:tblPr>
        <w:tblStyle w:val="Listaclara-nfasis1"/>
        <w:tblW w:w="0" w:type="auto"/>
        <w:tblLook w:val="04A0" w:firstRow="1" w:lastRow="0" w:firstColumn="1" w:lastColumn="0" w:noHBand="0" w:noVBand="1"/>
      </w:tblPr>
      <w:tblGrid>
        <w:gridCol w:w="4320"/>
        <w:gridCol w:w="4320"/>
      </w:tblGrid>
      <w:tr w:rsidR="00B738B1" w14:paraId="7AADD3DF" w14:textId="77777777" w:rsidTr="00B73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1343523" w14:textId="77777777" w:rsidR="00B738B1" w:rsidRDefault="00000000">
            <w:r>
              <w:t>KPI</w:t>
            </w:r>
          </w:p>
        </w:tc>
        <w:tc>
          <w:tcPr>
            <w:tcW w:w="4320" w:type="dxa"/>
          </w:tcPr>
          <w:p w14:paraId="5AE768D7" w14:textId="77777777" w:rsidR="00B738B1" w:rsidRDefault="00000000">
            <w:pPr>
              <w:cnfStyle w:val="100000000000" w:firstRow="1" w:lastRow="0" w:firstColumn="0" w:lastColumn="0" w:oddVBand="0" w:evenVBand="0" w:oddHBand="0" w:evenHBand="0" w:firstRowFirstColumn="0" w:firstRowLastColumn="0" w:lastRowFirstColumn="0" w:lastRowLastColumn="0"/>
            </w:pPr>
            <w:r>
              <w:t>Descripción</w:t>
            </w:r>
          </w:p>
        </w:tc>
      </w:tr>
      <w:tr w:rsidR="00B738B1" w:rsidRPr="00C50A42" w14:paraId="7D2B0CD8" w14:textId="77777777" w:rsidTr="00B7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A6150F" w14:textId="77777777" w:rsidR="00B738B1" w:rsidRDefault="00000000">
            <w:r>
              <w:t>Default Rate</w:t>
            </w:r>
          </w:p>
        </w:tc>
        <w:tc>
          <w:tcPr>
            <w:tcW w:w="4320" w:type="dxa"/>
          </w:tcPr>
          <w:p w14:paraId="7382D4CF" w14:textId="77777777" w:rsidR="00B738B1" w:rsidRPr="00C50A42" w:rsidRDefault="00000000">
            <w:pPr>
              <w:cnfStyle w:val="000000100000" w:firstRow="0" w:lastRow="0" w:firstColumn="0" w:lastColumn="0" w:oddVBand="0" w:evenVBand="0" w:oddHBand="1" w:evenHBand="0" w:firstRowFirstColumn="0" w:firstRowLastColumn="0" w:lastRowFirstColumn="0" w:lastRowLastColumn="0"/>
              <w:rPr>
                <w:lang w:val="es-MX"/>
              </w:rPr>
            </w:pPr>
            <w:r w:rsidRPr="00C50A42">
              <w:rPr>
                <w:lang w:val="es-MX"/>
              </w:rPr>
              <w:t>Porcentaje de préstamos que incumplen</w:t>
            </w:r>
          </w:p>
        </w:tc>
      </w:tr>
      <w:tr w:rsidR="00B738B1" w14:paraId="014195C8" w14:textId="77777777" w:rsidTr="00B738B1">
        <w:tc>
          <w:tcPr>
            <w:cnfStyle w:val="001000000000" w:firstRow="0" w:lastRow="0" w:firstColumn="1" w:lastColumn="0" w:oddVBand="0" w:evenVBand="0" w:oddHBand="0" w:evenHBand="0" w:firstRowFirstColumn="0" w:firstRowLastColumn="0" w:lastRowFirstColumn="0" w:lastRowLastColumn="0"/>
            <w:tcW w:w="4320" w:type="dxa"/>
          </w:tcPr>
          <w:p w14:paraId="7798C036" w14:textId="77777777" w:rsidR="00B738B1" w:rsidRDefault="00000000">
            <w:r>
              <w:t xml:space="preserve">PD </w:t>
            </w:r>
            <w:proofErr w:type="spellStart"/>
            <w:r>
              <w:t>promedio</w:t>
            </w:r>
            <w:proofErr w:type="spellEnd"/>
          </w:p>
        </w:tc>
        <w:tc>
          <w:tcPr>
            <w:tcW w:w="4320" w:type="dxa"/>
          </w:tcPr>
          <w:p w14:paraId="3A12E0A9" w14:textId="77777777" w:rsidR="00B738B1" w:rsidRDefault="00000000">
            <w:pPr>
              <w:cnfStyle w:val="000000000000" w:firstRow="0" w:lastRow="0" w:firstColumn="0" w:lastColumn="0" w:oddVBand="0" w:evenVBand="0" w:oddHBand="0" w:evenHBand="0" w:firstRowFirstColumn="0" w:firstRowLastColumn="0" w:lastRowFirstColumn="0" w:lastRowLastColumn="0"/>
            </w:pPr>
            <w:r>
              <w:t>Promedio de PD estimada</w:t>
            </w:r>
          </w:p>
        </w:tc>
      </w:tr>
      <w:tr w:rsidR="00B738B1" w:rsidRPr="00C50A42" w14:paraId="433BA05A" w14:textId="77777777" w:rsidTr="00B7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1BB9BA" w14:textId="77777777" w:rsidR="00B738B1" w:rsidRDefault="00000000">
            <w:r>
              <w:t>Expected Loss</w:t>
            </w:r>
          </w:p>
        </w:tc>
        <w:tc>
          <w:tcPr>
            <w:tcW w:w="4320" w:type="dxa"/>
          </w:tcPr>
          <w:p w14:paraId="5EB0E485" w14:textId="77777777" w:rsidR="00B738B1" w:rsidRPr="00C50A42" w:rsidRDefault="00000000">
            <w:pPr>
              <w:cnfStyle w:val="000000100000" w:firstRow="0" w:lastRow="0" w:firstColumn="0" w:lastColumn="0" w:oddVBand="0" w:evenVBand="0" w:oddHBand="1" w:evenHBand="0" w:firstRowFirstColumn="0" w:firstRowLastColumn="0" w:lastRowFirstColumn="0" w:lastRowLastColumn="0"/>
              <w:rPr>
                <w:lang w:val="es-MX"/>
              </w:rPr>
            </w:pPr>
            <w:r w:rsidRPr="00C50A42">
              <w:rPr>
                <w:lang w:val="es-MX"/>
              </w:rPr>
              <w:t>Suma de PD × LGD × EAD</w:t>
            </w:r>
          </w:p>
        </w:tc>
      </w:tr>
      <w:tr w:rsidR="00B738B1" w14:paraId="060013BD" w14:textId="77777777" w:rsidTr="00B738B1">
        <w:tc>
          <w:tcPr>
            <w:cnfStyle w:val="001000000000" w:firstRow="0" w:lastRow="0" w:firstColumn="1" w:lastColumn="0" w:oddVBand="0" w:evenVBand="0" w:oddHBand="0" w:evenHBand="0" w:firstRowFirstColumn="0" w:firstRowLastColumn="0" w:lastRowFirstColumn="0" w:lastRowLastColumn="0"/>
            <w:tcW w:w="4320" w:type="dxa"/>
          </w:tcPr>
          <w:p w14:paraId="618374F6" w14:textId="77777777" w:rsidR="00B738B1" w:rsidRDefault="00000000">
            <w:r>
              <w:t xml:space="preserve">ROA </w:t>
            </w:r>
            <w:proofErr w:type="spellStart"/>
            <w:r>
              <w:t>ajustado</w:t>
            </w:r>
            <w:proofErr w:type="spellEnd"/>
          </w:p>
        </w:tc>
        <w:tc>
          <w:tcPr>
            <w:tcW w:w="4320" w:type="dxa"/>
          </w:tcPr>
          <w:p w14:paraId="0B2ADA29" w14:textId="77777777" w:rsidR="00B738B1" w:rsidRDefault="00000000">
            <w:pPr>
              <w:cnfStyle w:val="000000000000" w:firstRow="0" w:lastRow="0" w:firstColumn="0" w:lastColumn="0" w:oddVBand="0" w:evenVBand="0" w:oddHBand="0" w:evenHBand="0" w:firstRowFirstColumn="0" w:firstRowLastColumn="0" w:lastRowFirstColumn="0" w:lastRowLastColumn="0"/>
            </w:pPr>
            <w:r>
              <w:t>Retorno ajustado al riesgo</w:t>
            </w:r>
          </w:p>
        </w:tc>
      </w:tr>
      <w:tr w:rsidR="00B738B1" w14:paraId="18D7D0CE" w14:textId="77777777" w:rsidTr="00B73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020004" w14:textId="77777777" w:rsidR="00B738B1" w:rsidRDefault="00000000">
            <w:r>
              <w:t>Fairness Metrics</w:t>
            </w:r>
          </w:p>
        </w:tc>
        <w:tc>
          <w:tcPr>
            <w:tcW w:w="4320" w:type="dxa"/>
          </w:tcPr>
          <w:p w14:paraId="03C788CD" w14:textId="77777777" w:rsidR="00B738B1" w:rsidRDefault="00000000">
            <w:pPr>
              <w:cnfStyle w:val="000000100000" w:firstRow="0" w:lastRow="0" w:firstColumn="0" w:lastColumn="0" w:oddVBand="0" w:evenVBand="0" w:oddHBand="1" w:evenHBand="0" w:firstRowFirstColumn="0" w:firstRowLastColumn="0" w:lastRowFirstColumn="0" w:lastRowLastColumn="0"/>
            </w:pPr>
            <w:r>
              <w:t>DI, TPR/FPR gaps</w:t>
            </w:r>
          </w:p>
        </w:tc>
      </w:tr>
      <w:tr w:rsidR="00B738B1" w14:paraId="7ABE0ED4" w14:textId="77777777" w:rsidTr="00B738B1">
        <w:tc>
          <w:tcPr>
            <w:cnfStyle w:val="001000000000" w:firstRow="0" w:lastRow="0" w:firstColumn="1" w:lastColumn="0" w:oddVBand="0" w:evenVBand="0" w:oddHBand="0" w:evenHBand="0" w:firstRowFirstColumn="0" w:firstRowLastColumn="0" w:lastRowFirstColumn="0" w:lastRowLastColumn="0"/>
            <w:tcW w:w="4320" w:type="dxa"/>
          </w:tcPr>
          <w:p w14:paraId="2A722862" w14:textId="77777777" w:rsidR="00B738B1" w:rsidRDefault="00000000">
            <w:r>
              <w:t>Time to Yes</w:t>
            </w:r>
          </w:p>
        </w:tc>
        <w:tc>
          <w:tcPr>
            <w:tcW w:w="4320" w:type="dxa"/>
          </w:tcPr>
          <w:p w14:paraId="7883FE41" w14:textId="77777777" w:rsidR="00B738B1" w:rsidRDefault="00000000">
            <w:pPr>
              <w:cnfStyle w:val="000000000000" w:firstRow="0" w:lastRow="0" w:firstColumn="0" w:lastColumn="0" w:oddVBand="0" w:evenVBand="0" w:oddHBand="0" w:evenHBand="0" w:firstRowFirstColumn="0" w:firstRowLastColumn="0" w:lastRowFirstColumn="0" w:lastRowLastColumn="0"/>
            </w:pPr>
            <w:r>
              <w:t>Tiempo promedio de aprobación</w:t>
            </w:r>
          </w:p>
        </w:tc>
      </w:tr>
    </w:tbl>
    <w:p w14:paraId="684BC7BC" w14:textId="77777777" w:rsidR="00B738B1" w:rsidRPr="00C50A42" w:rsidRDefault="00000000">
      <w:pPr>
        <w:rPr>
          <w:lang w:val="es-MX"/>
        </w:rPr>
      </w:pPr>
      <w:r w:rsidRPr="00C50A42">
        <w:rPr>
          <w:lang w:val="es-MX"/>
        </w:rPr>
        <w:br/>
      </w:r>
      <w:proofErr w:type="spellStart"/>
      <w:r w:rsidRPr="00C50A42">
        <w:rPr>
          <w:lang w:val="es-MX"/>
        </w:rPr>
        <w:t>Roadmap</w:t>
      </w:r>
      <w:proofErr w:type="spellEnd"/>
      <w:r w:rsidRPr="00C50A42">
        <w:rPr>
          <w:lang w:val="es-MX"/>
        </w:rPr>
        <w:t xml:space="preserve">: </w:t>
      </w:r>
      <w:r w:rsidRPr="00C50A42">
        <w:rPr>
          <w:lang w:val="es-MX"/>
        </w:rPr>
        <w:br/>
        <w:t>Fase 1 – Infraestructura de datos y modelos (meses 1–3)</w:t>
      </w:r>
      <w:r w:rsidRPr="00C50A42">
        <w:rPr>
          <w:lang w:val="es-MX"/>
        </w:rPr>
        <w:br/>
        <w:t>Fase 2 – Integración de módulos y despliegue de API/</w:t>
      </w:r>
      <w:proofErr w:type="spellStart"/>
      <w:r w:rsidRPr="00C50A42">
        <w:rPr>
          <w:lang w:val="es-MX"/>
        </w:rPr>
        <w:t>Dashboard</w:t>
      </w:r>
      <w:proofErr w:type="spellEnd"/>
      <w:r w:rsidRPr="00C50A42">
        <w:rPr>
          <w:lang w:val="es-MX"/>
        </w:rPr>
        <w:t xml:space="preserve"> (meses 4–6)</w:t>
      </w:r>
      <w:r w:rsidRPr="00C50A42">
        <w:rPr>
          <w:lang w:val="es-MX"/>
        </w:rPr>
        <w:br/>
        <w:t>Fase 3 – Escalado, capacitación y mejora continua (meses 7–12)</w:t>
      </w:r>
    </w:p>
    <w:sectPr w:rsidR="00B738B1" w:rsidRPr="00C50A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20296572">
    <w:abstractNumId w:val="8"/>
  </w:num>
  <w:num w:numId="2" w16cid:durableId="1006639544">
    <w:abstractNumId w:val="6"/>
  </w:num>
  <w:num w:numId="3" w16cid:durableId="1771386368">
    <w:abstractNumId w:val="5"/>
  </w:num>
  <w:num w:numId="4" w16cid:durableId="761216828">
    <w:abstractNumId w:val="4"/>
  </w:num>
  <w:num w:numId="5" w16cid:durableId="373624102">
    <w:abstractNumId w:val="7"/>
  </w:num>
  <w:num w:numId="6" w16cid:durableId="1829251042">
    <w:abstractNumId w:val="3"/>
  </w:num>
  <w:num w:numId="7" w16cid:durableId="504706770">
    <w:abstractNumId w:val="2"/>
  </w:num>
  <w:num w:numId="8" w16cid:durableId="1580603194">
    <w:abstractNumId w:val="1"/>
  </w:num>
  <w:num w:numId="9" w16cid:durableId="4594189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B0B91"/>
    <w:rsid w:val="00AA1D8D"/>
    <w:rsid w:val="00B47730"/>
    <w:rsid w:val="00B738B1"/>
    <w:rsid w:val="00C50A42"/>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6763AE"/>
  <w14:defaultImageDpi w14:val="300"/>
  <w15:docId w15:val="{5FBDD04E-6337-4B97-8799-6B938F6D8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627</Words>
  <Characters>3659</Characters>
  <Application>Microsoft Office Word</Application>
  <DocSecurity>0</DocSecurity>
  <Lines>83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Ruben Andres Reyes Cuellar</cp:lastModifiedBy>
  <cp:revision>2</cp:revision>
  <dcterms:created xsi:type="dcterms:W3CDTF">2013-12-23T23:15:00Z</dcterms:created>
  <dcterms:modified xsi:type="dcterms:W3CDTF">2026-04-07T00:50:00Z</dcterms:modified>
  <cp:category/>
</cp:coreProperties>
</file>