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Financial Simulation &amp; Stress Testing – PD / EL</w:t>
      </w:r>
    </w:p>
    <w:p>
      <w:pPr>
        <w:jc w:val="center"/>
      </w:pPr>
      <w:r>
        <w:t>Fundación Universitaria San Mateo</w:t>
      </w:r>
    </w:p>
    <w:p>
      <w:pPr>
        <w:jc w:val="center"/>
      </w:pPr>
      <w:r>
        <w:t>Ingeniería de Sistemas</w:t>
      </w:r>
    </w:p>
    <w:p>
      <w:pPr>
        <w:jc w:val="center"/>
      </w:pPr>
      <w:r>
        <w:t>Materia Eje: Minería de Datos, Modelado y Simulación, Ética Profesional, Electiva 6: Fundamentos de la Transformación Digital</w:t>
      </w:r>
    </w:p>
    <w:p>
      <w:pPr>
        <w:spacing w:before="200"/>
      </w:pPr>
    </w:p>
    <w:p>
      <w:r>
        <w:t>Integrantes:</w:t>
      </w:r>
    </w:p>
    <w:p>
      <w:r>
        <w:t>Ruben Andres Reyes Cuellar, Jhon Palacio, Brayan Nemgua</w:t>
      </w:r>
    </w:p>
    <w:p>
      <w:r>
        <w:t>Fecha de entrega:</w:t>
      </w:r>
    </w:p>
    <w:p>
      <w:r>
        <w:t>23 de February de 2026</w:t>
      </w:r>
    </w:p>
    <w:p>
      <w:r>
        <w:br w:type="page"/>
      </w:r>
    </w:p>
    <w:p>
      <w:pPr>
        <w:pStyle w:val="Heading1"/>
      </w:pPr>
      <w:r>
        <w:t>Resumen Ejecutivo</w:t>
      </w:r>
    </w:p>
    <w:p>
      <w:r>
        <w:t>Este informe detalla el diseño y la implementación de simulaciones financieras y pruebas de estrés para evaluar el impacto de variaciones en la tasa de interés, el ratio dti y choques macroeconómicos sobre la Probabilidad de Default (PD) y la Pérdida Esperada (EL). Se emplea Monte Carlo para generar miles de escenarios y se calculan percentiles de la distribución de pérdidas, proporcionando insumos para estrategias de pricing y límites de crédito.</w:t>
      </w:r>
    </w:p>
    <w:p>
      <w:pPr>
        <w:pStyle w:val="Heading1"/>
      </w:pPr>
      <w:r>
        <w:t>Marco Teórico</w:t>
      </w:r>
    </w:p>
    <w:p>
      <w:r>
        <w:t>La pérdida esperada se define como EL = PD × LGD × EAD, donde PD es la probabilidad de default, LGD la pérdida dada el incumplimiento y EAD la exposición al momento del default. La simulación Monte Carlo utiliza números aleatorios para modelar la incertidumbre en las variables de entrada, permitiendo obtener distribuciones de resultados. El stress testing consiste en evaluar el modelo bajo escenarios adversos definidos por reguladores o la institución.</w:t>
      </w:r>
    </w:p>
    <w:p>
      <w:r>
        <w:t>La elasticidad de la PD respecto a variables como la tasa de interés y el dti se estima derivando la función logística: ∂PD/∂x = PD × (1 − PD) × β_x. Esto permite cuantificar el impacto marginal de cambios en políticas de pricing o requisitos de dti.</w:t>
      </w:r>
    </w:p>
    <w:p>
      <w:pPr>
        <w:pStyle w:val="Heading1"/>
      </w:pPr>
      <w:r>
        <w:t>Metodología</w:t>
      </w:r>
    </w:p>
    <w:p>
      <w:r>
        <w:t>1. Definición de Variables y Distribuciones: Se identifican las variables sensibles (int_rate, dti) y los choques macroeconómicos (e.g., desempleo, inflación). Se asignan distribuciones (normal, lognormal) basadas en datos históricos.</w:t>
      </w:r>
    </w:p>
    <w:p>
      <w:r>
        <w:t>2. Generación de Escenarios: Se realizan N iteraciones de Monte Carlo, generando valores aleatorios para cada variable. Para stress testing, se definen escenarios específicos (moderado, severo) con valores extremos.</w:t>
      </w:r>
    </w:p>
    <w:p>
      <w:r>
        <w:t>3. Re-cálculo de PD y EL: Para cada escenario y cada préstamo se ajustan las variables de entrada y se recalcula la PD usando el modelo entrenado. La EL se calcula multiplicando PD, LGD y EAD.</w:t>
      </w:r>
    </w:p>
    <w:p>
      <w:r>
        <w:t>4. Agregación de Resultados: Se suman las EL para obtener distribuciones agregadas y se calculan percentiles (P50, P90, P99). Se evalúan elasticidades y se comparan escenarios base vs. stress.</w:t>
      </w:r>
    </w:p>
    <w:p>
      <w:r>
        <w:t>5. Interpretación y Recomendaciones: Se analizan los resultados para ajustar pricing, límites y reservas de capital.</w:t>
      </w:r>
    </w:p>
    <w:p>
      <w:pPr>
        <w:pStyle w:val="Heading1"/>
      </w:pPr>
      <w:r>
        <w:t>Resultados Esperados</w:t>
      </w:r>
    </w:p>
    <w:p>
      <w:r>
        <w:t>Se espera que la distribución base de pérdidas muestre un percentil 99 significativamente menor al del escenario de stress severo. Por ejemplo, EL_P99_base podría ser del 5% de la cartera y EL_P99_stress del 8%. Las elasticidades estimadas deberían indicar que incrementos de 100 puntos base en la tasa de interés aumentan la PD en X%, y que reducciones de dti disminuyen el riesgo. Estos resultados servirán para proponer rangos de pricing y límites diferenciados por segmento.</w:t>
      </w:r>
    </w:p>
    <w:p>
      <w:pPr>
        <w:pStyle w:val="Heading1"/>
      </w:pPr>
      <w:r>
        <w:t>Conclusiones</w:t>
      </w:r>
    </w:p>
    <w:p>
      <w:r>
        <w:t>Las simulaciones financieras y pruebas de estrés son herramientas esenciales para anticipar pérdidas y calibrar estrategias de crédito. La adopción de un marco Monte Carlo permite capturar la variabilidad de variables clave y evaluar la resiliencia del portafolio. Se recomienda integrar este módulo en el ciclo de gestión del riesgo y actualizar los supuestos periódicamente en función del entorno económico.</w:t>
      </w:r>
    </w:p>
    <w:p>
      <w:pPr>
        <w:pStyle w:val="Heading1"/>
      </w:pPr>
      <w:r>
        <w:t>Bibliografía Sugerida</w:t>
      </w:r>
    </w:p>
    <w:p>
      <w:r>
        <w:t>• Hull, J. C. (2012). ‘Risk Management and Financial Institutions’.</w:t>
        <w:br/>
        <w:t>• Glasserman, P. (2004). ‘Monte Carlo Methods in Financial Engineering’.</w:t>
        <w:br/>
        <w:t>• Basel Committee on Banking Supervision. ‘Principles for Sound Stress Testing Practices’.</w:t>
        <w:br/>
        <w:t>• Saunders, A., &amp; Allen, L. (2010). ‘Credit Risk Management In and Out of the Financial Crisis’.</w:t>
        <w:br/>
        <w:t>• Artzner, P., Delbaen, F., Eber, J. M., &amp; Heath, D. (1999). ‘Coherent Measures of Risk’.</w:t>
      </w:r>
    </w:p>
    <w:p>
      <w:pPr>
        <w:pStyle w:val="Heading1"/>
      </w:pPr>
      <w:r>
        <w:t>Anexo 1: Diccionario de Variables</w:t>
      </w:r>
    </w:p>
    <w:tbl>
      <w:tblPr>
        <w:tblStyle w:val="LightList-Accent1"/>
        <w:tblW w:type="auto" w:w="0"/>
        <w:tblLook w:firstColumn="1" w:firstRow="1" w:lastColumn="0" w:lastRow="0" w:noHBand="0" w:noVBand="1" w:val="04A0"/>
      </w:tblPr>
      <w:tblGrid>
        <w:gridCol w:w="4320"/>
        <w:gridCol w:w="4320"/>
      </w:tblGrid>
      <w:tr>
        <w:tc>
          <w:tcPr>
            <w:tcW w:type="dxa" w:w="4320"/>
          </w:tcPr>
          <w:p>
            <w:r>
              <w:t>Variable</w:t>
            </w:r>
          </w:p>
        </w:tc>
        <w:tc>
          <w:tcPr>
            <w:tcW w:type="dxa" w:w="4320"/>
          </w:tcPr>
          <w:p>
            <w:r>
              <w:t>Descripción</w:t>
            </w:r>
          </w:p>
        </w:tc>
      </w:tr>
      <w:tr>
        <w:tc>
          <w:tcPr>
            <w:tcW w:type="dxa" w:w="4320"/>
          </w:tcPr>
          <w:p>
            <w:r>
              <w:t>int_rate</w:t>
            </w:r>
          </w:p>
        </w:tc>
        <w:tc>
          <w:tcPr>
            <w:tcW w:type="dxa" w:w="4320"/>
          </w:tcPr>
          <w:p>
            <w:r>
              <w:t>Tasa de interés simulada</w:t>
            </w:r>
          </w:p>
        </w:tc>
      </w:tr>
      <w:tr>
        <w:tc>
          <w:tcPr>
            <w:tcW w:type="dxa" w:w="4320"/>
          </w:tcPr>
          <w:p>
            <w:r>
              <w:t>dti</w:t>
            </w:r>
          </w:p>
        </w:tc>
        <w:tc>
          <w:tcPr>
            <w:tcW w:type="dxa" w:w="4320"/>
          </w:tcPr>
          <w:p>
            <w:r>
              <w:t>Ratio deuda/ingreso simulado</w:t>
            </w:r>
          </w:p>
        </w:tc>
      </w:tr>
      <w:tr>
        <w:tc>
          <w:tcPr>
            <w:tcW w:type="dxa" w:w="4320"/>
          </w:tcPr>
          <w:p>
            <w:r>
              <w:t>shock_unemployment</w:t>
            </w:r>
          </w:p>
        </w:tc>
        <w:tc>
          <w:tcPr>
            <w:tcW w:type="dxa" w:w="4320"/>
          </w:tcPr>
          <w:p>
            <w:r>
              <w:t>Choque en la tasa de desempleo</w:t>
            </w:r>
          </w:p>
        </w:tc>
      </w:tr>
      <w:tr>
        <w:tc>
          <w:tcPr>
            <w:tcW w:type="dxa" w:w="4320"/>
          </w:tcPr>
          <w:p>
            <w:r>
              <w:t>shock_inflation</w:t>
            </w:r>
          </w:p>
        </w:tc>
        <w:tc>
          <w:tcPr>
            <w:tcW w:type="dxa" w:w="4320"/>
          </w:tcPr>
          <w:p>
            <w:r>
              <w:t>Choque en la inflación</w:t>
            </w:r>
          </w:p>
        </w:tc>
      </w:tr>
      <w:tr>
        <w:tc>
          <w:tcPr>
            <w:tcW w:type="dxa" w:w="4320"/>
          </w:tcPr>
          <w:p>
            <w:r>
              <w:t>PD</w:t>
            </w:r>
          </w:p>
        </w:tc>
        <w:tc>
          <w:tcPr>
            <w:tcW w:type="dxa" w:w="4320"/>
          </w:tcPr>
          <w:p>
            <w:r>
              <w:t>Probabilidad de default recalculada</w:t>
            </w:r>
          </w:p>
        </w:tc>
      </w:tr>
      <w:tr>
        <w:tc>
          <w:tcPr>
            <w:tcW w:type="dxa" w:w="4320"/>
          </w:tcPr>
          <w:p>
            <w:r>
              <w:t>LGD</w:t>
            </w:r>
          </w:p>
        </w:tc>
        <w:tc>
          <w:tcPr>
            <w:tcW w:type="dxa" w:w="4320"/>
          </w:tcPr>
          <w:p>
            <w:r>
              <w:t>Pérdida dada el incumplimiento (supuesto)</w:t>
            </w:r>
          </w:p>
        </w:tc>
      </w:tr>
      <w:tr>
        <w:tc>
          <w:tcPr>
            <w:tcW w:type="dxa" w:w="4320"/>
          </w:tcPr>
          <w:p>
            <w:r>
              <w:t>EAD</w:t>
            </w:r>
          </w:p>
        </w:tc>
        <w:tc>
          <w:tcPr>
            <w:tcW w:type="dxa" w:w="4320"/>
          </w:tcPr>
          <w:p>
            <w:r>
              <w:t>Exposición al default</w:t>
            </w:r>
          </w:p>
        </w:tc>
      </w:tr>
      <w:tr>
        <w:tc>
          <w:tcPr>
            <w:tcW w:type="dxa" w:w="4320"/>
          </w:tcPr>
          <w:p>
            <w:r>
              <w:t>EL</w:t>
            </w:r>
          </w:p>
        </w:tc>
        <w:tc>
          <w:tcPr>
            <w:tcW w:type="dxa" w:w="4320"/>
          </w:tcPr>
          <w:p>
            <w:r>
              <w:t>Pérdida esperada</w:t>
            </w:r>
          </w:p>
        </w:tc>
      </w:tr>
    </w:tbl>
    <w:p>
      <w:pPr>
        <w:pStyle w:val="Heading1"/>
      </w:pPr>
      <w:r>
        <w:t>Anexo 2: Pseudocódigo de Simulación</w:t>
      </w:r>
    </w:p>
    <w:p>
      <w:r>
        <w:br/>
        <w:t>for s in range(1, N+1):</w:t>
        <w:br/>
        <w:t xml:space="preserve">    # Generar shocks macroeconómicos</w:t>
        <w:br/>
        <w:t xml:space="preserve">    shock_unemployment_s = random_normal(mu_unemp, sigma_unemp)</w:t>
        <w:br/>
        <w:t xml:space="preserve">    shock_inflation_s = random_normal(mu_inf, sigma_inf)</w:t>
        <w:br/>
        <w:t xml:space="preserve">    for loan in portfolio:</w:t>
        <w:br/>
        <w:t xml:space="preserve">        # Ajustar variables</w:t>
        <w:br/>
        <w:t xml:space="preserve">        int_rate_s = loan.int_rate + alpha_rate * shock_inflation_s</w:t>
        <w:br/>
        <w:t xml:space="preserve">        dti_s = loan.dti + beta_dti * shock_unemployment_s</w:t>
        <w:br/>
        <w:t xml:space="preserve">        # Recalcular PD</w:t>
        <w:br/>
        <w:t xml:space="preserve">        PD_s = logistic_function(beta0 + beta_rate*int_rate_s + beta_dti*dti_s + ...)</w:t>
        <w:br/>
        <w:t xml:space="preserve">        # Calcular EL</w:t>
        <w:br/>
        <w:t xml:space="preserve">        EL_s += PD_s * LGD * EAD</w:t>
        <w:br/>
        <w:t xml:space="preserve">    guardar(EL_s)</w:t>
        <w:br/>
        <w:t># Calcular percentiles de EL</w:t>
        <w:br/>
        <w:t>percentiles = calcular_percentiles(EL_s)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