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8C1F28"/>
          <w:sz w:val="30"/>
          <w:szCs w:val="30"/>
        </w:rPr>
        <w:t xml:space="preserve">FUNDACIÓN UNIVERSITARIA SAN MATEO</w:t>
      </w:r>
    </w:p>
    <w:p>
      <w:pPr>
        <w:spacing w:after="200" w:before="60"/>
        <w:jc w:val="center"/>
      </w:pPr>
      <w:r>
        <w:rPr>
          <w:rFonts w:ascii="Arial" w:cs="Arial" w:eastAsia="Arial" w:hAnsi="Arial"/>
          <w:i/>
          <w:iCs/>
          <w:color w:val="7A7A7A"/>
          <w:sz w:val="24"/>
          <w:szCs w:val="24"/>
        </w:rPr>
        <w:t xml:space="preserve">Programa de Ingeniería de Sistemas</w:t>
      </w:r>
    </w:p>
    <w:p>
      <w:pPr>
        <w:pBdr>
          <w:top w:val="single" w:color="D4820A" w:sz="8"/>
          <w:bottom w:val="single" w:color="D4820A" w:sz="8"/>
        </w:pBdr>
        <w:spacing w:after="200" w:before="200"/>
        <w:jc w:val="center"/>
      </w:pPr>
      <w:r>
        <w:rPr>
          <w:rFonts w:ascii="Arial" w:cs="Arial" w:eastAsia="Arial" w:hAnsi="Arial"/>
          <w:b/>
          <w:bCs/>
          <w:color w:val="8C1F28"/>
          <w:sz w:val="46"/>
          <w:szCs w:val="46"/>
        </w:rPr>
        <w:t xml:space="preserve">ÉTICA PROFESIONAL</w:t>
      </w:r>
    </w:p>
    <w:p>
      <w:pPr>
        <w:spacing w:after="80" w:before="80"/>
      </w:pPr>
      <w:r>
        <w:t xml:space="preserve"/>
      </w:r>
    </w:p>
    <w:p>
      <w:pPr>
        <w:spacing w:after="60" w:before="80"/>
        <w:jc w:val="center"/>
      </w:pPr>
      <w:r>
        <w:rPr>
          <w:rFonts w:ascii="Arial" w:cs="Arial" w:eastAsia="Arial" w:hAnsi="Arial"/>
          <w:b/>
          <w:bCs/>
          <w:color w:val="1A1A1A"/>
          <w:sz w:val="28"/>
          <w:szCs w:val="28"/>
        </w:rPr>
        <w:t xml:space="preserve">Marco GDPR y Lineamientos COPNIA</w:t>
      </w:r>
    </w:p>
    <w:p>
      <w:pPr>
        <w:spacing w:after="60" w:before="60"/>
        <w:jc w:val="center"/>
      </w:pPr>
      <w:r>
        <w:rPr>
          <w:rFonts w:ascii="Arial" w:cs="Arial" w:eastAsia="Arial" w:hAnsi="Arial"/>
          <w:i/>
          <w:iCs/>
          <w:color w:val="D4820A"/>
          <w:sz w:val="24"/>
          <w:szCs w:val="24"/>
        </w:rPr>
        <w:t xml:space="preserve">Sistema Inteligente AxiaData — Gestión Ética de Datos</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1A1A1A"/>
          <w:sz w:val="22"/>
          <w:szCs w:val="22"/>
        </w:rPr>
        <w:t xml:space="preserve">Docente: Angelo Alexander Poveda Gil</w:t>
      </w:r>
    </w:p>
    <w:p>
      <w:pPr>
        <w:spacing w:after="40" w:before="40"/>
        <w:jc w:val="center"/>
      </w:pPr>
      <w:r>
        <w:rPr>
          <w:rFonts w:ascii="Arial" w:cs="Arial" w:eastAsia="Arial" w:hAnsi="Arial"/>
          <w:color w:val="7A7A7A"/>
          <w:sz w:val="22"/>
          <w:szCs w:val="22"/>
        </w:rPr>
        <w:t xml:space="preserve">Coordinador: Edward Reyes Corredor</w:t>
      </w:r>
    </w:p>
    <w:p>
      <w:pPr>
        <w:spacing w:after="80" w:before="40"/>
        <w:jc w:val="center"/>
      </w:pPr>
      <w:r>
        <w:rPr>
          <w:rFonts w:ascii="Arial" w:cs="Arial" w:eastAsia="Arial" w:hAnsi="Arial"/>
          <w:color w:val="7A7A7A"/>
          <w:sz w:val="22"/>
          <w:szCs w:val="22"/>
        </w:rPr>
        <w:t xml:space="preserve">X Semestre  |  Grupo 01N31  |  Bogotá, 2025</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8C1F28"/>
          <w:sz w:val="22"/>
          <w:szCs w:val="22"/>
        </w:rPr>
        <w:t xml:space="preserve">Equipo AxiaData — Grupo 1</w:t>
      </w:r>
    </w:p>
    <w:p>
      <w:pPr>
        <w:jc w:val="center"/>
      </w:pPr>
      <w:r>
        <w:rPr>
          <w:rFonts w:ascii="Arial" w:cs="Arial" w:eastAsia="Arial" w:hAnsi="Arial"/>
          <w:color w:val="1A1A1A"/>
          <w:sz w:val="22"/>
          <w:szCs w:val="22"/>
        </w:rPr>
        <w:t xml:space="preserve">Brayan Prieto  |  Integrante 2  |  Integrante 3</w:t>
      </w:r>
    </w:p>
    <w:p>
      <w:r>
        <w:br w:type="page"/>
      </w:r>
    </w:p>
    <w:p>
      <w:pPr>
        <w:pBdr>
          <w:bottom w:val="single" w:color="8C1F28" w:sz="6" w:space="4"/>
        </w:pBdr>
        <w:spacing w:after="150" w:before="300"/>
      </w:pPr>
      <w:r>
        <w:rPr>
          <w:rFonts w:ascii="Arial" w:cs="Arial" w:eastAsia="Arial" w:hAnsi="Arial"/>
          <w:b/>
          <w:bCs/>
          <w:color w:val="8C1F28"/>
          <w:sz w:val="36"/>
          <w:szCs w:val="36"/>
        </w:rPr>
        <w:t xml:space="preserve">1. Introducción — Ética en Sistemas de Inteligencia de Datos</w:t>
      </w:r>
    </w:p>
    <w:p>
      <w:pPr>
        <w:spacing w:after="120" w:before="80"/>
        <w:jc w:val="both"/>
      </w:pPr>
      <w:r>
        <w:rPr>
          <w:rFonts w:ascii="Arial" w:cs="Arial" w:eastAsia="Arial" w:hAnsi="Arial"/>
          <w:b w:val="false"/>
          <w:bCs w:val="false"/>
          <w:i w:val="false"/>
          <w:iCs w:val="false"/>
          <w:color w:val="1A1A1A"/>
          <w:sz w:val="22"/>
          <w:szCs w:val="22"/>
        </w:rPr>
        <w:t xml:space="preserve">AxiaData, como sistema inteligente de procesamiento de datos, tiene una responsabilidad ética fundamental con los individuos cuyos datos procesa, con las organizaciones que lo utilizan y con la sociedad en general. El uso masivo de datos personales, la implementación de algoritmos predictivos y la automatización de decisiones crean escenarios donde las implicaciones éticas son inseparables de las técnicas.</w:t>
      </w:r>
    </w:p>
    <w:p>
      <w:pPr>
        <w:spacing w:after="120" w:before="80"/>
        <w:jc w:val="both"/>
      </w:pPr>
      <w:r>
        <w:rPr>
          <w:rFonts w:ascii="Arial" w:cs="Arial" w:eastAsia="Arial" w:hAnsi="Arial"/>
          <w:b w:val="false"/>
          <w:bCs w:val="false"/>
          <w:i w:val="false"/>
          <w:iCs w:val="false"/>
          <w:color w:val="1A1A1A"/>
          <w:sz w:val="22"/>
          <w:szCs w:val="22"/>
        </w:rPr>
        <w:t xml:space="preserve">Este documento establece el marco ético completo del sistema AxiaData, fundamentado en el Reglamento General de Protección de Datos (GDPR) de la Unión Europea — estándar internacional de referencia — y los lineamientos del Consejo Profesional Nacional de Ingeniería (COPNIA) de Colombia, que rige la práctica ética de los ingenieros en el país.</w:t>
      </w:r>
    </w:p>
    <w:p>
      <w:pPr>
        <w:spacing w:after="120" w:before="80"/>
        <w:jc w:val="both"/>
      </w:pPr>
      <w:r>
        <w:rPr>
          <w:rFonts w:ascii="Arial" w:cs="Arial" w:eastAsia="Arial" w:hAnsi="Arial"/>
          <w:b w:val="false"/>
          <w:bCs w:val="false"/>
          <w:i w:val="false"/>
          <w:iCs w:val="false"/>
          <w:color w:val="1A1A1A"/>
          <w:sz w:val="22"/>
          <w:szCs w:val="22"/>
        </w:rPr>
        <w:t xml:space="preserve">La adopción del GDPR como marco de referencia es una decisión estratégica: no solo garantiza el cumplimiento con las mejores prácticas internacionales de privacidad, sino que también posiciona a AxiaData como un sistema responsable, auditable y confiable para operaciones que involucren datos de ciudadanos de la Unión Europea, alineándose además con la Ley 1581 de 2012 (Habeas Data) de Colombia.</w:t>
      </w:r>
    </w:p>
    <w:p>
      <w:pPr>
        <w:pBdr>
          <w:bottom w:val="single" w:color="8C1F28" w:sz="6" w:space="4"/>
        </w:pBdr>
        <w:spacing w:after="150" w:before="300"/>
      </w:pPr>
      <w:r>
        <w:rPr>
          <w:rFonts w:ascii="Arial" w:cs="Arial" w:eastAsia="Arial" w:hAnsi="Arial"/>
          <w:b/>
          <w:bCs/>
          <w:color w:val="8C1F28"/>
          <w:sz w:val="36"/>
          <w:szCs w:val="36"/>
        </w:rPr>
        <w:t xml:space="preserve">2. Marco GDPR — Reglamento General de Protección de Datos</w:t>
      </w:r>
    </w:p>
    <w:p>
      <w:pPr>
        <w:spacing w:after="120" w:before="80"/>
        <w:jc w:val="both"/>
      </w:pPr>
      <w:r>
        <w:rPr>
          <w:rFonts w:ascii="Arial" w:cs="Arial" w:eastAsia="Arial" w:hAnsi="Arial"/>
          <w:b w:val="false"/>
          <w:bCs w:val="false"/>
          <w:i w:val="false"/>
          <w:iCs w:val="false"/>
          <w:color w:val="1A1A1A"/>
          <w:sz w:val="22"/>
          <w:szCs w:val="22"/>
        </w:rPr>
        <w:t xml:space="preserve">El GDPR (General Data Protection Regulation, Reglamento UE 2016/679) entró en vigor el 25 de mayo de 2018 y establece el estándar más exigente del mundo en materia de protección de datos personales. Para AxiaData, el GDPR es el marco principal que guía el diseño, operación y gobernanza del sistema.</w:t>
      </w:r>
    </w:p>
    <w:p>
      <w:pPr>
        <w:spacing w:after="150" w:before="300"/>
      </w:pPr>
      <w:r>
        <w:rPr>
          <w:rFonts w:ascii="Arial" w:cs="Arial" w:eastAsia="Arial" w:hAnsi="Arial"/>
          <w:b/>
          <w:bCs/>
          <w:color w:val="D4820A"/>
          <w:sz w:val="28"/>
          <w:szCs w:val="28"/>
        </w:rPr>
        <w:t xml:space="preserve">2.1 Los 7 Principios del GDPR Aplicados a AxiaData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Principio GDPR</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49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Implementación en AxiaData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Licitud, Lealtad y Transparencia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Los datos deben procesarse de forma legal, justa y transparente para el interesado.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AxiaData documenta la base legal de cada tipo de procesamiento. Dashboard de privacidad accesible a los titulares.</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 Limitación de la Finalidad</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Los datos solo pueden procesarse para los fines específicos declarados.</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Cada pipeline ETL tiene un propósito declarado. Controles técnicos impiden uso cruzado no autorizado.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 Minimización de Datos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Solo se deben recopilar los datos necesarios para el fin declarado.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Inventario de datos actualizado. Eliminación automática de campos no requeridos en la capa Bronze.</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 Exactitud</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Los datos deben ser exactos y actualizados.</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Proceso ETL con validación de exactitud ≥96%. Mecanismo de corrección a solicitud del titular.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 Limitación del Plazo de Conservación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Los datos no pueden conservarse más tiempo del necesario.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Política de retención: Bronze=5 años, Silver=3 años, Gold=2 años. Eliminación automática al vencer.</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6. Integridad y Confidencialidad</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Deben tomarse medidas de seguridad apropiadas.</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Cifrado AES-256 en reposo, TLS 1.3 en tránsito. Acceso basado en roles (RBAC). Logs de auditoría.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7. Responsabilidad Proactiva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El responsable debe demostrar el cumplimiento.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DPO designado. Registro de actividades de tratamiento (Art. 30). Evaluaciones DPIA documentadas.</w:t>
            </w:r>
          </w:p>
        </w:tc>
      </w:tr>
    </w:tbl>
    <w:p>
      <w:pPr>
        <w:spacing w:after="80" w:before="80"/>
      </w:pPr>
      <w:r>
        <w:t xml:space="preserve"/>
      </w:r>
    </w:p>
    <w:p>
      <w:pPr>
        <w:spacing w:after="150" w:before="300"/>
      </w:pPr>
      <w:r>
        <w:rPr>
          <w:rFonts w:ascii="Arial" w:cs="Arial" w:eastAsia="Arial" w:hAnsi="Arial"/>
          <w:b/>
          <w:bCs/>
          <w:color w:val="D4820A"/>
          <w:sz w:val="28"/>
          <w:szCs w:val="28"/>
        </w:rPr>
        <w:t xml:space="preserve">2.2 Bases Legales de Tratamiento en AxiaData</w:t>
      </w:r>
    </w:p>
    <w:p>
      <w:pPr>
        <w:spacing w:after="120" w:before="80"/>
        <w:jc w:val="both"/>
      </w:pPr>
      <w:r>
        <w:rPr>
          <w:rFonts w:ascii="Arial" w:cs="Arial" w:eastAsia="Arial" w:hAnsi="Arial"/>
          <w:b w:val="false"/>
          <w:bCs w:val="false"/>
          <w:i w:val="false"/>
          <w:iCs w:val="false"/>
          <w:color w:val="1A1A1A"/>
          <w:sz w:val="22"/>
          <w:szCs w:val="22"/>
        </w:rPr>
        <w:t xml:space="preserve">Según el Artículo 6 del GDPR, el tratamiento de datos personales solo es lícito si se apoya en una base legal válida. AxiaData utiliza las siguientes bases:</w:t>
      </w:r>
    </w:p>
    <w:p>
      <w:pPr>
        <w:pStyle w:val="ListParagraph"/>
        <w:numPr>
          <w:ilvl w:val="0"/>
          <w:numId w:val="2"/>
        </w:numPr>
        <w:spacing w:after="60" w:before="60"/>
      </w:pPr>
      <w:r>
        <w:rPr>
          <w:rFonts w:ascii="Arial" w:cs="Arial" w:eastAsia="Arial" w:hAnsi="Arial"/>
          <w:color w:val="1A1A1A"/>
          <w:sz w:val="22"/>
          <w:szCs w:val="22"/>
        </w:rPr>
        <w:t xml:space="preserve">Ejecución de contrato (Art. 6.1.b): procesamiento de datos de clientes necesario para la prestación del servicio contratado.</w:t>
      </w:r>
    </w:p>
    <w:p>
      <w:pPr>
        <w:pStyle w:val="ListParagraph"/>
        <w:numPr>
          <w:ilvl w:val="0"/>
          <w:numId w:val="2"/>
        </w:numPr>
        <w:spacing w:after="60" w:before="60"/>
      </w:pPr>
      <w:r>
        <w:rPr>
          <w:rFonts w:ascii="Arial" w:cs="Arial" w:eastAsia="Arial" w:hAnsi="Arial"/>
          <w:color w:val="1A1A1A"/>
          <w:sz w:val="22"/>
          <w:szCs w:val="22"/>
        </w:rPr>
        <w:t xml:space="preserve">Interés legítimo (Art. 6.1.f): análisis de comportamiento de uso para mejorar el sistema, previa evaluación de balance de intereses.</w:t>
      </w:r>
    </w:p>
    <w:p>
      <w:pPr>
        <w:pStyle w:val="ListParagraph"/>
        <w:numPr>
          <w:ilvl w:val="0"/>
          <w:numId w:val="2"/>
        </w:numPr>
        <w:spacing w:after="60" w:before="60"/>
      </w:pPr>
      <w:r>
        <w:rPr>
          <w:rFonts w:ascii="Arial" w:cs="Arial" w:eastAsia="Arial" w:hAnsi="Arial"/>
          <w:color w:val="1A1A1A"/>
          <w:sz w:val="22"/>
          <w:szCs w:val="22"/>
        </w:rPr>
        <w:t xml:space="preserve">Consentimiento explícito (Art. 6.1.a): para cualquier uso analítico secundario o comunicaciones de marketing. El consentimiento es granular, específico y revocable.</w:t>
      </w:r>
    </w:p>
    <w:p>
      <w:pPr>
        <w:pStyle w:val="ListParagraph"/>
        <w:numPr>
          <w:ilvl w:val="0"/>
          <w:numId w:val="2"/>
        </w:numPr>
        <w:spacing w:after="60" w:before="60"/>
      </w:pPr>
      <w:r>
        <w:rPr>
          <w:rFonts w:ascii="Arial" w:cs="Arial" w:eastAsia="Arial" w:hAnsi="Arial"/>
          <w:color w:val="1A1A1A"/>
          <w:sz w:val="22"/>
          <w:szCs w:val="22"/>
        </w:rPr>
        <w:t xml:space="preserve">Obligación legal (Art. 6.1.c): conservación de registros para cumplir con normativas fiscales y regulatorias colombianas.</w:t>
      </w:r>
    </w:p>
    <w:p>
      <w:pPr>
        <w:spacing w:after="150" w:before="300"/>
      </w:pPr>
      <w:r>
        <w:rPr>
          <w:rFonts w:ascii="Arial" w:cs="Arial" w:eastAsia="Arial" w:hAnsi="Arial"/>
          <w:b/>
          <w:bCs/>
          <w:color w:val="D4820A"/>
          <w:sz w:val="28"/>
          <w:szCs w:val="28"/>
        </w:rPr>
        <w:t xml:space="preserve">2.3 Derechos de los Titulares — Implementación Técnica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Derecho GDPR</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Artículo</w:t>
            </w:r>
          </w:p>
        </w:tc>
        <w:tc>
          <w:tcPr>
            <w:tcW w:type="dxa" w:w="1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Plazo Respuesta</w:t>
            </w:r>
          </w:p>
        </w:tc>
        <w:tc>
          <w:tcPr>
            <w:tcW w:type="dxa" w:w="52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Implementación Técnica en AxiaData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Acceso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Art. 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30 días</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Portal de privacidad: descarga de todos los datos del titular en formato JSON/PDF.</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Rectificación</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Art. 16</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30 días</w:t>
            </w:r>
          </w:p>
        </w:tc>
        <w:tc>
          <w:tcPr>
            <w:tcW w:type="dxa" w:w="5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 de corrección que propaga cambios a todas las capas del datalake.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Supresión (Derecho al Olvido)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Art. 17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30 días</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Pipeline de eliminación que borra datos en cascada: Bronze → Silver → Gold → modelos ML.</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Portabilidad</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Art. 20</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30 días</w:t>
            </w:r>
          </w:p>
        </w:tc>
        <w:tc>
          <w:tcPr>
            <w:tcW w:type="dxa" w:w="5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Exportación en formato estructurado (CSV, JSON) listo para importar en otro sistema.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Oposición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Art. 21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Inmediato</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Flag de opt-out que excluye al titular de procesamiento analítico y modelos predictivos.</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Limitación del Tratamiento</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Art. 18</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72 horas</w:t>
            </w:r>
          </w:p>
        </w:tc>
        <w:tc>
          <w:tcPr>
            <w:tcW w:type="dxa" w:w="52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Estado 'congelado': datos conservados pero excluidos de pipelines activos hasta resolución.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 ser objeto de decisión automatizada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Art. 22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Bajo demanda</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Revisión humana disponible para todas las decisiones automatizadas con impacto en el titular.</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3. Código de Ética de AxiaData</w:t>
      </w:r>
    </w:p>
    <w:p>
      <w:pPr>
        <w:spacing w:after="120" w:before="80"/>
        <w:jc w:val="both"/>
      </w:pPr>
      <w:r>
        <w:rPr>
          <w:rFonts w:ascii="Arial" w:cs="Arial" w:eastAsia="Arial" w:hAnsi="Arial"/>
          <w:b w:val="false"/>
          <w:bCs w:val="false"/>
          <w:i w:val="false"/>
          <w:iCs w:val="false"/>
          <w:color w:val="1A1A1A"/>
          <w:sz w:val="22"/>
          <w:szCs w:val="22"/>
        </w:rPr>
        <w:t xml:space="preserve">El Código de Ética de AxiaData es el documento rector que establece los principios, compromisos y comportamientos esperados de todos los involucrados en el desarrollo, operación y uso del sistema. Está alineado con el GDPR, los lineamientos COPNIA y los principios de IA ética de la OCDE.</w:t>
      </w:r>
    </w:p>
    <w:p>
      <w:pPr>
        <w:shd w:fill="D4820A" w:val="clear"/>
        <w:spacing w:after="100" w:before="200"/>
      </w:pPr>
      <w:r>
        <w:rPr>
          <w:rFonts w:ascii="Arial" w:cs="Arial" w:eastAsia="Arial" w:hAnsi="Arial"/>
          <w:b/>
          <w:bCs/>
          <w:color w:val="FFFFFF"/>
          <w:sz w:val="24"/>
          <w:szCs w:val="24"/>
        </w:rPr>
        <w:t xml:space="preserve">  Artículo 1 — Principio de Beneficencia</w:t>
      </w:r>
    </w:p>
    <w:p>
      <w:pPr>
        <w:spacing w:after="120" w:before="80"/>
        <w:jc w:val="both"/>
      </w:pPr>
      <w:r>
        <w:rPr>
          <w:rFonts w:ascii="Arial" w:cs="Arial" w:eastAsia="Arial" w:hAnsi="Arial"/>
          <w:b w:val="false"/>
          <w:bCs w:val="false"/>
          <w:i w:val="false"/>
          <w:iCs w:val="false"/>
          <w:color w:val="1A1A1A"/>
          <w:sz w:val="22"/>
          <w:szCs w:val="22"/>
        </w:rPr>
        <w:t xml:space="preserve">AxiaData se desarrolla y opera con el propósito primario de generar beneficio para las personas y organizaciones que lo utilizan. Ninguna funcionalidad del sistema será implementada si su beneficio potencial no supera claramente el riesgo de daño a los titulares de los datos o a la sociedad.</w:t>
      </w:r>
    </w:p>
    <w:p>
      <w:pPr>
        <w:shd w:fill="D4820A" w:val="clear"/>
        <w:spacing w:after="100" w:before="200"/>
      </w:pPr>
      <w:r>
        <w:rPr>
          <w:rFonts w:ascii="Arial" w:cs="Arial" w:eastAsia="Arial" w:hAnsi="Arial"/>
          <w:b/>
          <w:bCs/>
          <w:color w:val="FFFFFF"/>
          <w:sz w:val="24"/>
          <w:szCs w:val="24"/>
        </w:rPr>
        <w:t xml:space="preserve">  Artículo 2 — Principio de No Maleficencia</w:t>
      </w:r>
    </w:p>
    <w:p>
      <w:pPr>
        <w:spacing w:after="120" w:before="80"/>
        <w:jc w:val="both"/>
      </w:pPr>
      <w:r>
        <w:rPr>
          <w:rFonts w:ascii="Arial" w:cs="Arial" w:eastAsia="Arial" w:hAnsi="Arial"/>
          <w:b w:val="false"/>
          <w:bCs w:val="false"/>
          <w:i w:val="false"/>
          <w:iCs w:val="false"/>
          <w:color w:val="1A1A1A"/>
          <w:sz w:val="22"/>
          <w:szCs w:val="22"/>
        </w:rPr>
        <w:t xml:space="preserve">El equipo de AxiaData se compromete a identificar, evaluar y mitigar activamente cualquier daño potencial derivado del sistema, incluyendo sesgos algorítmicos, discriminación, violaciones de privacidad, desinformación o uso indebido de los análisis generados.</w:t>
      </w:r>
    </w:p>
    <w:p>
      <w:pPr>
        <w:shd w:fill="D4820A" w:val="clear"/>
        <w:spacing w:after="100" w:before="200"/>
      </w:pPr>
      <w:r>
        <w:rPr>
          <w:rFonts w:ascii="Arial" w:cs="Arial" w:eastAsia="Arial" w:hAnsi="Arial"/>
          <w:b/>
          <w:bCs/>
          <w:color w:val="FFFFFF"/>
          <w:sz w:val="24"/>
          <w:szCs w:val="24"/>
        </w:rPr>
        <w:t xml:space="preserve">  Artículo 3 — Principio de Autonomía y Consentimiento</w:t>
      </w:r>
    </w:p>
    <w:p>
      <w:pPr>
        <w:spacing w:after="120" w:before="80"/>
        <w:jc w:val="both"/>
      </w:pPr>
      <w:r>
        <w:rPr>
          <w:rFonts w:ascii="Arial" w:cs="Arial" w:eastAsia="Arial" w:hAnsi="Arial"/>
          <w:b w:val="false"/>
          <w:bCs w:val="false"/>
          <w:i w:val="false"/>
          <w:iCs w:val="false"/>
          <w:color w:val="1A1A1A"/>
          <w:sz w:val="22"/>
          <w:szCs w:val="22"/>
        </w:rPr>
        <w:t xml:space="preserve">Los titulares de datos tienen derecho a controlar el uso de su información. AxiaData garantiza que el consentimiento sea: libre (sin presión ni condicionamiento), específico (para cada finalidad declarada), informado (con lenguaje claro y comprensible) y revocable (en cualquier momento sin consecuencias negativas).</w:t>
      </w:r>
    </w:p>
    <w:p>
      <w:pPr>
        <w:shd w:fill="D4820A" w:val="clear"/>
        <w:spacing w:after="100" w:before="200"/>
      </w:pPr>
      <w:r>
        <w:rPr>
          <w:rFonts w:ascii="Arial" w:cs="Arial" w:eastAsia="Arial" w:hAnsi="Arial"/>
          <w:b/>
          <w:bCs/>
          <w:color w:val="FFFFFF"/>
          <w:sz w:val="24"/>
          <w:szCs w:val="24"/>
        </w:rPr>
        <w:t xml:space="preserve">  Artículo 4 — Principio de Justicia y No Discriminación</w:t>
      </w:r>
    </w:p>
    <w:p>
      <w:pPr>
        <w:spacing w:after="120" w:before="80"/>
        <w:jc w:val="both"/>
      </w:pPr>
      <w:r>
        <w:rPr>
          <w:rFonts w:ascii="Arial" w:cs="Arial" w:eastAsia="Arial" w:hAnsi="Arial"/>
          <w:b w:val="false"/>
          <w:bCs w:val="false"/>
          <w:i w:val="false"/>
          <w:iCs w:val="false"/>
          <w:color w:val="1A1A1A"/>
          <w:sz w:val="22"/>
          <w:szCs w:val="22"/>
        </w:rPr>
        <w:t xml:space="preserve">Los modelos y algoritmos de AxiaData serán auditados regularmente para detectar y eliminar sesgos que puedan generar discriminación por razones de raza, género, orientación sexual, edad, condición socioeconómica, discapacidad u otras características protegidas por la ley.</w:t>
      </w:r>
    </w:p>
    <w:p>
      <w:pPr>
        <w:shd w:fill="D4820A" w:val="clear"/>
        <w:spacing w:after="100" w:before="200"/>
      </w:pPr>
      <w:r>
        <w:rPr>
          <w:rFonts w:ascii="Arial" w:cs="Arial" w:eastAsia="Arial" w:hAnsi="Arial"/>
          <w:b/>
          <w:bCs/>
          <w:color w:val="FFFFFF"/>
          <w:sz w:val="24"/>
          <w:szCs w:val="24"/>
        </w:rPr>
        <w:t xml:space="preserve">  Artículo 5 — Principio de Transparencia Algorítmica</w:t>
      </w:r>
    </w:p>
    <w:p>
      <w:pPr>
        <w:spacing w:after="120" w:before="80"/>
        <w:jc w:val="both"/>
      </w:pPr>
      <w:r>
        <w:rPr>
          <w:rFonts w:ascii="Arial" w:cs="Arial" w:eastAsia="Arial" w:hAnsi="Arial"/>
          <w:b w:val="false"/>
          <w:bCs w:val="false"/>
          <w:i w:val="false"/>
          <w:iCs w:val="false"/>
          <w:color w:val="1A1A1A"/>
          <w:sz w:val="22"/>
          <w:szCs w:val="22"/>
        </w:rPr>
        <w:t xml:space="preserve">AxiaData implementa explicabilidad en todos sus modelos de decisión. Los resultados generados por algoritmos de IA deben poder ser explicados en lenguaje comprensible a los afectados. Se prohíbe el uso de 'cajas negras' sin mecanismos de auditoría para decisiones que afecten derechos de las personas.</w:t>
      </w:r>
    </w:p>
    <w:p>
      <w:pPr>
        <w:shd w:fill="D4820A" w:val="clear"/>
        <w:spacing w:after="100" w:before="200"/>
      </w:pPr>
      <w:r>
        <w:rPr>
          <w:rFonts w:ascii="Arial" w:cs="Arial" w:eastAsia="Arial" w:hAnsi="Arial"/>
          <w:b/>
          <w:bCs/>
          <w:color w:val="FFFFFF"/>
          <w:sz w:val="24"/>
          <w:szCs w:val="24"/>
        </w:rPr>
        <w:t xml:space="preserve">  Artículo 6 — Principio de Responsabilidad Profesional</w:t>
      </w:r>
    </w:p>
    <w:p>
      <w:pPr>
        <w:spacing w:after="120" w:before="80"/>
        <w:jc w:val="both"/>
      </w:pPr>
      <w:r>
        <w:rPr>
          <w:rFonts w:ascii="Arial" w:cs="Arial" w:eastAsia="Arial" w:hAnsi="Arial"/>
          <w:b w:val="false"/>
          <w:bCs w:val="false"/>
          <w:i w:val="false"/>
          <w:iCs w:val="false"/>
          <w:color w:val="1A1A1A"/>
          <w:sz w:val="22"/>
          <w:szCs w:val="22"/>
        </w:rPr>
        <w:t xml:space="preserve">Los ingenieros y profesionales que desarrollan y operan AxiaData asumen responsabilidad personal por la correcta aplicación de los principios de este código, en concordancia con el Código de Ética del COPNIA (Ley 842 de 2003, Colombia). Todo incidente ético debe ser reportado sin represalia al Comité de Ética del proyecto.</w:t>
      </w:r>
    </w:p>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4. Evaluación y Mitigación de Sesgos Algorítmicos</w:t>
      </w:r>
    </w:p>
    <w:p>
      <w:pPr>
        <w:spacing w:after="120" w:before="80"/>
        <w:jc w:val="both"/>
      </w:pPr>
      <w:r>
        <w:rPr>
          <w:rFonts w:ascii="Arial" w:cs="Arial" w:eastAsia="Arial" w:hAnsi="Arial"/>
          <w:b w:val="false"/>
          <w:bCs w:val="false"/>
          <w:i w:val="false"/>
          <w:iCs w:val="false"/>
          <w:color w:val="1A1A1A"/>
          <w:sz w:val="22"/>
          <w:szCs w:val="22"/>
        </w:rPr>
        <w:t xml:space="preserve">Los sesgos en sistemas de IA pueden reproducir o amplificar desigualdades existentes, generando decisiones injustas. AxiaData implementa un proceso sistemático de detección y mitigación de sesgos en todos sus modelos.</w:t>
      </w:r>
    </w:p>
    <w:p>
      <w:pPr>
        <w:spacing w:after="150" w:before="300"/>
      </w:pPr>
      <w:r>
        <w:rPr>
          <w:rFonts w:ascii="Arial" w:cs="Arial" w:eastAsia="Arial" w:hAnsi="Arial"/>
          <w:b/>
          <w:bCs/>
          <w:color w:val="D4820A"/>
          <w:sz w:val="28"/>
          <w:szCs w:val="28"/>
        </w:rPr>
        <w:t xml:space="preserve">4.1 Tipos de Sesgo Identificados y Estrategias de Mitigación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Tipo de Sesgo</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Detección en AxiaData</w:t>
            </w:r>
          </w:p>
        </w:tc>
        <w:tc>
          <w:tcPr>
            <w:tcW w:type="dxa" w:w="33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Estrategia de Mitigación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Sesgo de Selección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Los datos de entrenamiento no representan adecuadamente a todos los grupos.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Análisis de distribución por segmentos demográficos y de negocio.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Técnicas de sobremuestreo (SMOTE) y ponderación de instancias.</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Sesgo de Confirmación</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El modelo confirma suposiciones previas en lugar de aprender del dato.</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Validación con datos out-of-sample de múltiples períodos.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Validación cruzada estratificada y ensembles de modelos.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Sesgo de Automatización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Los usuarios confían ciegamente en las predicciones del sistema.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Monitoreo de tasas de supervisión humana de decisiones críticas.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Interfaz que muestra intervalo de confianza y requiere confirmación humana en decisiones de alto impacto.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Sesgo Histórico</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El modelo perpetúa desigualdades presentes en los datos históricos.</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Análisis de equidad (fairness) por grupos protegidos.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Restricciones de equidad en la función objetivo del modelo (fairness constraints).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Sesgo de Medición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Variables proxy que correlacionan con características protegidas.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Análisis de correlación entre features y variables sensibles.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Eliminación de features proxy; aplicación de técnicas de fairness-aware ML.</w:t>
            </w:r>
          </w:p>
        </w:tc>
      </w:tr>
    </w:tbl>
    <w:p>
      <w:pPr>
        <w:spacing w:after="80" w:before="80"/>
      </w:pPr>
      <w:r>
        <w:t xml:space="preserve"/>
      </w:r>
    </w:p>
    <w:p>
      <w:pPr>
        <w:spacing w:after="150" w:before="300"/>
      </w:pPr>
      <w:r>
        <w:rPr>
          <w:rFonts w:ascii="Arial" w:cs="Arial" w:eastAsia="Arial" w:hAnsi="Arial"/>
          <w:b/>
          <w:bCs/>
          <w:color w:val="D4820A"/>
          <w:sz w:val="28"/>
          <w:szCs w:val="28"/>
        </w:rPr>
        <w:t xml:space="preserve">4.2 Métricas de Equidad Implementadas</w:t>
      </w:r>
    </w:p>
    <w:p>
      <w:pPr>
        <w:pStyle w:val="ListParagraph"/>
        <w:numPr>
          <w:ilvl w:val="0"/>
          <w:numId w:val="2"/>
        </w:numPr>
        <w:spacing w:after="60" w:before="60"/>
      </w:pPr>
      <w:r>
        <w:rPr>
          <w:rFonts w:ascii="Arial" w:cs="Arial" w:eastAsia="Arial" w:hAnsi="Arial"/>
          <w:color w:val="1A1A1A"/>
          <w:sz w:val="22"/>
          <w:szCs w:val="22"/>
        </w:rPr>
        <w:t xml:space="preserve">Paridad demográfica: la tasa de resultados positivos debe ser similar entre grupos protegidos (tolerancia ≤ 5 puntos porcentuales de diferencia).</w:t>
      </w:r>
    </w:p>
    <w:p>
      <w:pPr>
        <w:pStyle w:val="ListParagraph"/>
        <w:numPr>
          <w:ilvl w:val="0"/>
          <w:numId w:val="2"/>
        </w:numPr>
        <w:spacing w:after="60" w:before="60"/>
      </w:pPr>
      <w:r>
        <w:rPr>
          <w:rFonts w:ascii="Arial" w:cs="Arial" w:eastAsia="Arial" w:hAnsi="Arial"/>
          <w:color w:val="1A1A1A"/>
          <w:sz w:val="22"/>
          <w:szCs w:val="22"/>
        </w:rPr>
        <w:t xml:space="preserve">Igualdad de oportunidades: la tasa de verdaderos positivos debe ser equitativa entre grupos (threshold: diferencia ≤ 8%).</w:t>
      </w:r>
    </w:p>
    <w:p>
      <w:pPr>
        <w:pStyle w:val="ListParagraph"/>
        <w:numPr>
          <w:ilvl w:val="0"/>
          <w:numId w:val="2"/>
        </w:numPr>
        <w:spacing w:after="60" w:before="60"/>
      </w:pPr>
      <w:r>
        <w:rPr>
          <w:rFonts w:ascii="Arial" w:cs="Arial" w:eastAsia="Arial" w:hAnsi="Arial"/>
          <w:color w:val="1A1A1A"/>
          <w:sz w:val="22"/>
          <w:szCs w:val="22"/>
        </w:rPr>
        <w:t xml:space="preserve">Calibración por grupos: las probabilidades predichas deben reflejar las frecuencias reales de forma consistente entre grupos.</w:t>
      </w:r>
    </w:p>
    <w:p>
      <w:pPr>
        <w:pStyle w:val="ListParagraph"/>
        <w:numPr>
          <w:ilvl w:val="0"/>
          <w:numId w:val="2"/>
        </w:numPr>
        <w:spacing w:after="60" w:before="60"/>
      </w:pPr>
      <w:r>
        <w:rPr>
          <w:rFonts w:ascii="Arial" w:cs="Arial" w:eastAsia="Arial" w:hAnsi="Arial"/>
          <w:color w:val="1A1A1A"/>
          <w:sz w:val="22"/>
          <w:szCs w:val="22"/>
        </w:rPr>
        <w:t xml:space="preserve">Auditoría de equidad: revisión semestral con reporte a la dirección y publicación de resultados en el portal de transparencia de AxiaData.</w:t>
      </w:r>
    </w:p>
    <w:p>
      <w:pPr>
        <w:pBdr>
          <w:bottom w:val="single" w:color="8C1F28" w:sz="6" w:space="4"/>
        </w:pBdr>
        <w:spacing w:after="150" w:before="300"/>
      </w:pPr>
      <w:r>
        <w:rPr>
          <w:rFonts w:ascii="Arial" w:cs="Arial" w:eastAsia="Arial" w:hAnsi="Arial"/>
          <w:b/>
          <w:bCs/>
          <w:color w:val="8C1F28"/>
          <w:sz w:val="36"/>
          <w:szCs w:val="36"/>
        </w:rPr>
        <w:t xml:space="preserve">5. Transparencia Algorítmica</w:t>
      </w:r>
    </w:p>
    <w:p>
      <w:pPr>
        <w:spacing w:after="120" w:before="80"/>
        <w:jc w:val="both"/>
      </w:pPr>
      <w:r>
        <w:rPr>
          <w:rFonts w:ascii="Arial" w:cs="Arial" w:eastAsia="Arial" w:hAnsi="Arial"/>
          <w:b w:val="false"/>
          <w:bCs w:val="false"/>
          <w:i w:val="false"/>
          <w:iCs w:val="false"/>
          <w:color w:val="1A1A1A"/>
          <w:sz w:val="22"/>
          <w:szCs w:val="22"/>
        </w:rPr>
        <w:t xml:space="preserve">La transparencia algorítmica es el compromiso de AxiaData de hacer comprensibles y auditables los procesos de toma de decisiones automatizada. Esto es fundamental para generar confianza en el sistema y cumplir con el Artículo 22 del GDPR sobre decisiones automatizadas.</w:t>
      </w:r>
    </w:p>
    <w:p>
      <w:pPr>
        <w:spacing w:after="150" w:before="300"/>
      </w:pPr>
      <w:r>
        <w:rPr>
          <w:rFonts w:ascii="Arial" w:cs="Arial" w:eastAsia="Arial" w:hAnsi="Arial"/>
          <w:b/>
          <w:bCs/>
          <w:color w:val="D4820A"/>
          <w:sz w:val="28"/>
          <w:szCs w:val="28"/>
        </w:rPr>
        <w:t xml:space="preserve">5.1 Herramientas de Explicabilidad Implementadas</w:t>
      </w:r>
    </w:p>
    <w:p>
      <w:pPr>
        <w:pStyle w:val="ListParagraph"/>
        <w:numPr>
          <w:ilvl w:val="0"/>
          <w:numId w:val="2"/>
        </w:numPr>
        <w:spacing w:after="60" w:before="60"/>
      </w:pPr>
      <w:r>
        <w:rPr>
          <w:rFonts w:ascii="Arial" w:cs="Arial" w:eastAsia="Arial" w:hAnsi="Arial"/>
          <w:color w:val="1A1A1A"/>
          <w:sz w:val="22"/>
          <w:szCs w:val="22"/>
        </w:rPr>
        <w:t xml:space="preserve">SHAP (SHapley Additive exPlanations): para cada predicción individual, SHAP calcula la contribución de cada variable de entrada al resultado, permitiendo explicaciones personalizadas.</w:t>
      </w:r>
    </w:p>
    <w:p>
      <w:pPr>
        <w:pStyle w:val="ListParagraph"/>
        <w:numPr>
          <w:ilvl w:val="0"/>
          <w:numId w:val="2"/>
        </w:numPr>
        <w:spacing w:after="60" w:before="60"/>
      </w:pPr>
      <w:r>
        <w:rPr>
          <w:rFonts w:ascii="Arial" w:cs="Arial" w:eastAsia="Arial" w:hAnsi="Arial"/>
          <w:color w:val="1A1A1A"/>
          <w:sz w:val="22"/>
          <w:szCs w:val="22"/>
        </w:rPr>
        <w:t xml:space="preserve">LIME (Local Interpretable Model-agnostic Explanations): genera aproximaciones lineales locales de modelos complejos para facilitar la explicación en casos individuales.</w:t>
      </w:r>
    </w:p>
    <w:p>
      <w:pPr>
        <w:pStyle w:val="ListParagraph"/>
        <w:numPr>
          <w:ilvl w:val="0"/>
          <w:numId w:val="2"/>
        </w:numPr>
        <w:spacing w:after="60" w:before="60"/>
      </w:pPr>
      <w:r>
        <w:rPr>
          <w:rFonts w:ascii="Arial" w:cs="Arial" w:eastAsia="Arial" w:hAnsi="Arial"/>
          <w:color w:val="1A1A1A"/>
          <w:sz w:val="22"/>
          <w:szCs w:val="22"/>
        </w:rPr>
        <w:t xml:space="preserve">Feature Importance: ranking global de la importancia de las variables para cada modelo, actualizado con cada ciclo de reentrenamiento.</w:t>
      </w:r>
    </w:p>
    <w:p>
      <w:pPr>
        <w:pStyle w:val="ListParagraph"/>
        <w:numPr>
          <w:ilvl w:val="0"/>
          <w:numId w:val="2"/>
        </w:numPr>
        <w:spacing w:after="60" w:before="60"/>
      </w:pPr>
      <w:r>
        <w:rPr>
          <w:rFonts w:ascii="Arial" w:cs="Arial" w:eastAsia="Arial" w:hAnsi="Arial"/>
          <w:color w:val="1A1A1A"/>
          <w:sz w:val="22"/>
          <w:szCs w:val="22"/>
        </w:rPr>
        <w:t xml:space="preserve">Counterfactual Explanations: explicaciones del tipo 'qué debería cambiar para obtener un resultado diferente', especialmente útil para el modelo de churn.</w:t>
      </w:r>
    </w:p>
    <w:p>
      <w:pPr>
        <w:spacing w:after="150" w:before="300"/>
      </w:pPr>
      <w:r>
        <w:rPr>
          <w:rFonts w:ascii="Arial" w:cs="Arial" w:eastAsia="Arial" w:hAnsi="Arial"/>
          <w:b/>
          <w:bCs/>
          <w:color w:val="D4820A"/>
          <w:sz w:val="28"/>
          <w:szCs w:val="28"/>
        </w:rPr>
        <w:t xml:space="preserve">5.2 Portal de Transparencia de AxiaData</w:t>
      </w:r>
    </w:p>
    <w:p>
      <w:pPr>
        <w:spacing w:after="120" w:before="80"/>
        <w:jc w:val="both"/>
      </w:pPr>
      <w:r>
        <w:rPr>
          <w:rFonts w:ascii="Arial" w:cs="Arial" w:eastAsia="Arial" w:hAnsi="Arial"/>
          <w:b w:val="false"/>
          <w:bCs w:val="false"/>
          <w:i w:val="false"/>
          <w:iCs w:val="false"/>
          <w:color w:val="1A1A1A"/>
          <w:sz w:val="22"/>
          <w:szCs w:val="22"/>
        </w:rPr>
        <w:t xml:space="preserve">AxiaData mantiene un portal público de transparencia que incluye:</w:t>
      </w:r>
    </w:p>
    <w:p>
      <w:pPr>
        <w:pStyle w:val="ListParagraph"/>
        <w:numPr>
          <w:ilvl w:val="0"/>
          <w:numId w:val="2"/>
        </w:numPr>
        <w:spacing w:after="60" w:before="60"/>
      </w:pPr>
      <w:r>
        <w:rPr>
          <w:rFonts w:ascii="Arial" w:cs="Arial" w:eastAsia="Arial" w:hAnsi="Arial"/>
          <w:color w:val="1A1A1A"/>
          <w:sz w:val="22"/>
          <w:szCs w:val="22"/>
        </w:rPr>
        <w:t xml:space="preserve">Fichas técnicas de cada modelo en producción: propósito, datos utilizados, métricas de desempeño, fecha de último reentrenamiento.</w:t>
      </w:r>
    </w:p>
    <w:p>
      <w:pPr>
        <w:pStyle w:val="ListParagraph"/>
        <w:numPr>
          <w:ilvl w:val="0"/>
          <w:numId w:val="2"/>
        </w:numPr>
        <w:spacing w:after="60" w:before="60"/>
      </w:pPr>
      <w:r>
        <w:rPr>
          <w:rFonts w:ascii="Arial" w:cs="Arial" w:eastAsia="Arial" w:hAnsi="Arial"/>
          <w:color w:val="1A1A1A"/>
          <w:sz w:val="22"/>
          <w:szCs w:val="22"/>
        </w:rPr>
        <w:t xml:space="preserve">Resultados de las auditorías de equidad (semestrales).</w:t>
      </w:r>
    </w:p>
    <w:p>
      <w:pPr>
        <w:pStyle w:val="ListParagraph"/>
        <w:numPr>
          <w:ilvl w:val="0"/>
          <w:numId w:val="2"/>
        </w:numPr>
        <w:spacing w:after="60" w:before="60"/>
      </w:pPr>
      <w:r>
        <w:rPr>
          <w:rFonts w:ascii="Arial" w:cs="Arial" w:eastAsia="Arial" w:hAnsi="Arial"/>
          <w:color w:val="1A1A1A"/>
          <w:sz w:val="22"/>
          <w:szCs w:val="22"/>
        </w:rPr>
        <w:t xml:space="preserve">Registro de incidentes éticos y acciones correctivas tomadas.</w:t>
      </w:r>
    </w:p>
    <w:p>
      <w:pPr>
        <w:pStyle w:val="ListParagraph"/>
        <w:numPr>
          <w:ilvl w:val="0"/>
          <w:numId w:val="2"/>
        </w:numPr>
        <w:spacing w:after="60" w:before="60"/>
      </w:pPr>
      <w:r>
        <w:rPr>
          <w:rFonts w:ascii="Arial" w:cs="Arial" w:eastAsia="Arial" w:hAnsi="Arial"/>
          <w:color w:val="1A1A1A"/>
          <w:sz w:val="22"/>
          <w:szCs w:val="22"/>
        </w:rPr>
        <w:t xml:space="preserve">Mecanismo de reclamación para personas que consideren haber sido afectadas negativamente por una decisión automatizada.</w:t>
      </w:r>
    </w:p>
    <w:p>
      <w:pPr>
        <w:pBdr>
          <w:bottom w:val="single" w:color="8C1F28" w:sz="6" w:space="4"/>
        </w:pBdr>
        <w:spacing w:after="150" w:before="300"/>
      </w:pPr>
      <w:r>
        <w:rPr>
          <w:rFonts w:ascii="Arial" w:cs="Arial" w:eastAsia="Arial" w:hAnsi="Arial"/>
          <w:b/>
          <w:bCs/>
          <w:color w:val="8C1F28"/>
          <w:sz w:val="36"/>
          <w:szCs w:val="36"/>
        </w:rPr>
        <w:t xml:space="preserve">6. Plan de Gestión de la Privacidad de Datos</w:t>
      </w:r>
    </w:p>
    <w:p>
      <w:pPr>
        <w:spacing w:after="150" w:before="300"/>
      </w:pPr>
      <w:r>
        <w:rPr>
          <w:rFonts w:ascii="Arial" w:cs="Arial" w:eastAsia="Arial" w:hAnsi="Arial"/>
          <w:b/>
          <w:bCs/>
          <w:color w:val="D4820A"/>
          <w:sz w:val="28"/>
          <w:szCs w:val="28"/>
        </w:rPr>
        <w:t xml:space="preserve">6.1 Privacy by Design y Privacy by Default</w:t>
      </w:r>
    </w:p>
    <w:p>
      <w:pPr>
        <w:spacing w:after="120" w:before="80"/>
        <w:jc w:val="both"/>
      </w:pPr>
      <w:r>
        <w:rPr>
          <w:rFonts w:ascii="Arial" w:cs="Arial" w:eastAsia="Arial" w:hAnsi="Arial"/>
          <w:b w:val="false"/>
          <w:bCs w:val="false"/>
          <w:i w:val="false"/>
          <w:iCs w:val="false"/>
          <w:color w:val="1A1A1A"/>
          <w:sz w:val="22"/>
          <w:szCs w:val="22"/>
        </w:rPr>
        <w:t xml:space="preserve">AxiaData implementa los principios de Privacy by Design (Cavoukian, 1995), que exige que la privacidad sea considerada desde las fases más tempranas del diseño del sistema, no como un añadido posterior.</w:t>
      </w:r>
    </w:p>
    <w:p>
      <w:pPr>
        <w:pStyle w:val="ListParagraph"/>
        <w:numPr>
          <w:ilvl w:val="0"/>
          <w:numId w:val="2"/>
        </w:numPr>
        <w:spacing w:after="60" w:before="60"/>
      </w:pPr>
      <w:r>
        <w:rPr>
          <w:rFonts w:ascii="Arial" w:cs="Arial" w:eastAsia="Arial" w:hAnsi="Arial"/>
          <w:color w:val="1A1A1A"/>
          <w:sz w:val="22"/>
          <w:szCs w:val="22"/>
        </w:rPr>
        <w:t xml:space="preserve">Privacidad proactiva: la privacidad se diseña antes de que ocurra cualquier incidente, no en respuesta a él.</w:t>
      </w:r>
    </w:p>
    <w:p>
      <w:pPr>
        <w:pStyle w:val="ListParagraph"/>
        <w:numPr>
          <w:ilvl w:val="0"/>
          <w:numId w:val="2"/>
        </w:numPr>
        <w:spacing w:after="60" w:before="60"/>
      </w:pPr>
      <w:r>
        <w:rPr>
          <w:rFonts w:ascii="Arial" w:cs="Arial" w:eastAsia="Arial" w:hAnsi="Arial"/>
          <w:color w:val="1A1A1A"/>
          <w:sz w:val="22"/>
          <w:szCs w:val="22"/>
        </w:rPr>
        <w:t xml:space="preserve">Privacidad como configuración predeterminada: el nivel máximo de privacidad es la configuración por defecto; el usuario debe optar activamente por compartir más información.</w:t>
      </w:r>
    </w:p>
    <w:p>
      <w:pPr>
        <w:pStyle w:val="ListParagraph"/>
        <w:numPr>
          <w:ilvl w:val="0"/>
          <w:numId w:val="2"/>
        </w:numPr>
        <w:spacing w:after="60" w:before="60"/>
      </w:pPr>
      <w:r>
        <w:rPr>
          <w:rFonts w:ascii="Arial" w:cs="Arial" w:eastAsia="Arial" w:hAnsi="Arial"/>
          <w:color w:val="1A1A1A"/>
          <w:sz w:val="22"/>
          <w:szCs w:val="22"/>
        </w:rPr>
        <w:t xml:space="preserve">Privacidad embebida en el diseño: los controles de privacidad son parte integral de la arquitectura del sistema, no capas adicionales.</w:t>
      </w:r>
    </w:p>
    <w:p>
      <w:pPr>
        <w:pStyle w:val="ListParagraph"/>
        <w:numPr>
          <w:ilvl w:val="0"/>
          <w:numId w:val="2"/>
        </w:numPr>
        <w:spacing w:after="60" w:before="60"/>
      </w:pPr>
      <w:r>
        <w:rPr>
          <w:rFonts w:ascii="Arial" w:cs="Arial" w:eastAsia="Arial" w:hAnsi="Arial"/>
          <w:color w:val="1A1A1A"/>
          <w:sz w:val="22"/>
          <w:szCs w:val="22"/>
        </w:rPr>
        <w:t xml:space="preserve">Funcionalidad completa: privacidad y utilidad no son opuestos; AxiaData maximiza ambas sin sacrificar una por la otra.</w:t>
      </w:r>
    </w:p>
    <w:p>
      <w:pPr>
        <w:spacing w:after="150" w:before="300"/>
      </w:pPr>
      <w:r>
        <w:rPr>
          <w:rFonts w:ascii="Arial" w:cs="Arial" w:eastAsia="Arial" w:hAnsi="Arial"/>
          <w:b/>
          <w:bCs/>
          <w:color w:val="D4820A"/>
          <w:sz w:val="28"/>
          <w:szCs w:val="28"/>
        </w:rPr>
        <w:t xml:space="preserve">6.2 Medidas de Seguridad Técnica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Capa de Seguridad</w:t>
            </w:r>
          </w:p>
        </w:tc>
        <w:tc>
          <w:tcPr>
            <w:tcW w:type="dxa" w:w="47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Medida Implementada</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Estándar / Certificación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Cifrado en Reposo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AES-256 para todos los datos almacenados en el datalake.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NIST SP 800-111</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Cifrado en Tránsito</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TLS 1.3 para todas las comunicaciones entre componentes.</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RFC 8446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Control de Acceso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RBAC (Role-Based Access Control) con principio de mínimo privilegio.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ISO/IEC 27001</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Autenticación</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MFA obligatorio para todos los usuarios con acceso al datalake.</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NIST SP 800-63B</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Anonimización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Pseudoanonimización k-anonimato (k≥5) para conjuntos de análisis.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ISO/IEC 29101</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Auditoría</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Logs inmutables de todos los accesos y operaciones sobre datos personales.</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ISO/IEC 27001, Art. 30 GDPR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DPIA</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Evaluación de Impacto en Protección de Datos para cada nuevo uso de datos.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Art. 35 GDPR</w:t>
            </w:r>
          </w:p>
        </w:tc>
      </w:tr>
    </w:tbl>
    <w:p>
      <w:pPr>
        <w:spacing w:after="80" w:before="80"/>
      </w:pPr>
      <w:r>
        <w:t xml:space="preserve"/>
      </w:r>
    </w:p>
    <w:p>
      <w:pPr>
        <w:spacing w:after="150" w:before="300"/>
      </w:pPr>
      <w:r>
        <w:rPr>
          <w:rFonts w:ascii="Arial" w:cs="Arial" w:eastAsia="Arial" w:hAnsi="Arial"/>
          <w:b/>
          <w:bCs/>
          <w:color w:val="D4820A"/>
          <w:sz w:val="28"/>
          <w:szCs w:val="28"/>
        </w:rPr>
        <w:t xml:space="preserve">6.3 Plan de Respuesta ante Brechas de Seguridad</w:t>
      </w:r>
    </w:p>
    <w:p>
      <w:pPr>
        <w:pStyle w:val="ListParagraph"/>
        <w:numPr>
          <w:ilvl w:val="0"/>
          <w:numId w:val="2"/>
        </w:numPr>
        <w:spacing w:after="60" w:before="60"/>
      </w:pPr>
      <w:r>
        <w:rPr>
          <w:rFonts w:ascii="Arial" w:cs="Arial" w:eastAsia="Arial" w:hAnsi="Arial"/>
          <w:color w:val="1A1A1A"/>
          <w:sz w:val="22"/>
          <w:szCs w:val="22"/>
        </w:rPr>
        <w:t xml:space="preserve">Detección: monitoreo continuo con alertas automáticas ante patrones anómalos de acceso. SIEM integrado con el pipeline de seguridad de AxiaData.</w:t>
      </w:r>
    </w:p>
    <w:p>
      <w:pPr>
        <w:pStyle w:val="ListParagraph"/>
        <w:numPr>
          <w:ilvl w:val="0"/>
          <w:numId w:val="2"/>
        </w:numPr>
        <w:spacing w:after="60" w:before="60"/>
      </w:pPr>
      <w:r>
        <w:rPr>
          <w:rFonts w:ascii="Arial" w:cs="Arial" w:eastAsia="Arial" w:hAnsi="Arial"/>
          <w:color w:val="1A1A1A"/>
          <w:sz w:val="22"/>
          <w:szCs w:val="22"/>
        </w:rPr>
        <w:t xml:space="preserve">Contención (0–4 horas): aislamiento inmediato de los sistemas comprometidos, preservación de evidencias forenses, activación del Equipo de Respuesta a Incidentes.</w:t>
      </w:r>
    </w:p>
    <w:p>
      <w:pPr>
        <w:pStyle w:val="ListParagraph"/>
        <w:numPr>
          <w:ilvl w:val="0"/>
          <w:numId w:val="2"/>
        </w:numPr>
        <w:spacing w:after="60" w:before="60"/>
      </w:pPr>
      <w:r>
        <w:rPr>
          <w:rFonts w:ascii="Arial" w:cs="Arial" w:eastAsia="Arial" w:hAnsi="Arial"/>
          <w:color w:val="1A1A1A"/>
          <w:sz w:val="22"/>
          <w:szCs w:val="22"/>
        </w:rPr>
        <w:t xml:space="preserve">Notificación a autoridades (≤72 horas): notificación a la Superintendencia de Industria y Comercio de Colombia y, si aplica, a la Autoridad de Control del país del titular afectado (GDPR Art. 33).</w:t>
      </w:r>
    </w:p>
    <w:p>
      <w:pPr>
        <w:pStyle w:val="ListParagraph"/>
        <w:numPr>
          <w:ilvl w:val="0"/>
          <w:numId w:val="2"/>
        </w:numPr>
        <w:spacing w:after="60" w:before="60"/>
      </w:pPr>
      <w:r>
        <w:rPr>
          <w:rFonts w:ascii="Arial" w:cs="Arial" w:eastAsia="Arial" w:hAnsi="Arial"/>
          <w:color w:val="1A1A1A"/>
          <w:sz w:val="22"/>
          <w:szCs w:val="22"/>
        </w:rPr>
        <w:t xml:space="preserve">Notificación a titulares (sin dilación indebida): si la brecha implica alto riesgo para los titulares, notificación directa con descripción del incidente y medidas adoptadas (GDPR Art. 34).</w:t>
      </w:r>
    </w:p>
    <w:p>
      <w:pPr>
        <w:pStyle w:val="ListParagraph"/>
        <w:numPr>
          <w:ilvl w:val="0"/>
          <w:numId w:val="2"/>
        </w:numPr>
        <w:spacing w:after="60" w:before="60"/>
      </w:pPr>
      <w:r>
        <w:rPr>
          <w:rFonts w:ascii="Arial" w:cs="Arial" w:eastAsia="Arial" w:hAnsi="Arial"/>
          <w:color w:val="1A1A1A"/>
          <w:sz w:val="22"/>
          <w:szCs w:val="22"/>
        </w:rPr>
        <w:t xml:space="preserve">Remediación y postmortem: corrección de la vulnerabilidad, actualización de controles, informe de lecciones aprendidas.</w:t>
      </w:r>
    </w:p>
    <w:p>
      <w:pPr>
        <w:pBdr>
          <w:bottom w:val="single" w:color="8C1F28" w:sz="6" w:space="4"/>
        </w:pBdr>
        <w:spacing w:after="150" w:before="300"/>
      </w:pPr>
      <w:r>
        <w:rPr>
          <w:rFonts w:ascii="Arial" w:cs="Arial" w:eastAsia="Arial" w:hAnsi="Arial"/>
          <w:b/>
          <w:bCs/>
          <w:color w:val="8C1F28"/>
          <w:sz w:val="36"/>
          <w:szCs w:val="36"/>
        </w:rPr>
        <w:t xml:space="preserve">7. Informe de Impacto Ético — AxiaData</w:t>
      </w:r>
    </w:p>
    <w:p>
      <w:pPr>
        <w:spacing w:after="120" w:before="80"/>
        <w:jc w:val="both"/>
      </w:pPr>
      <w:r>
        <w:rPr>
          <w:rFonts w:ascii="Arial" w:cs="Arial" w:eastAsia="Arial" w:hAnsi="Arial"/>
          <w:b w:val="false"/>
          <w:bCs w:val="false"/>
          <w:i w:val="false"/>
          <w:iCs w:val="false"/>
          <w:color w:val="1A1A1A"/>
          <w:sz w:val="22"/>
          <w:szCs w:val="22"/>
        </w:rPr>
        <w:t xml:space="preserve">La Evaluación de Impacto Ético analiza cómo el sistema AxiaData afecta a las distintas partes involucradas: clientes, empleados, sociedad y el medio ambiente.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Grupo de Interés</w:t>
            </w:r>
          </w:p>
        </w:tc>
        <w:tc>
          <w:tcPr>
            <w:tcW w:type="dxa" w:w="2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Positivo</w:t>
            </w:r>
          </w:p>
        </w:tc>
        <w:tc>
          <w:tcPr>
            <w:tcW w:type="dxa" w:w="2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de Riesgo</w:t>
            </w:r>
          </w:p>
        </w:tc>
        <w:tc>
          <w:tcPr>
            <w:tcW w:type="dxa" w:w="29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Medida de Mitigación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Clientes / Titulares de Datos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Decisiones más rápidas y personalizadas. Portal de privacidad para control de sus datos.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Decisiones automatizadas que afecten su relación comercial sin supervisión humana.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Derecho a revisión humana garantizado. Explicaciones en lenguaje claro.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Empleados de la Organización</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Herramientas de análisis que potencian su trabajo y reducen tareas repetitivas.</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Monitoreo excesivo del desempeño mediante datos. Automatización de funciones.</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Política de uso de datos de empleados separada. Comité de trabajo y tecnología.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Accionistas / Dirección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Mejores decisiones estratégicas basadas en datos. Mayor competitividad.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Dependencia excesiva del sistema; pérdida de criterio humano en decisiones.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Protocolo de 'human-in-the-loop' para decisiones estratégicas de alto impacto.</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Sociedad</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Modelo de uso responsable de IA que puede servir de referencia para el sector.</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Concentración de datos en un único sistema. Riesgo de monopolio de información.</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Cumplimiento GDPR/Ley 1581. Auditorías independientes anuales.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Medio Ambiente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Optimización de recursos que reduce desperdicio operacional.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Consumo energético del procesamiento de grandes volúmenes de datos.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Uso de infraestructura cloud con certificación de energía renovable.</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8. Alineación con Lineamientos COPNIA</w:t>
      </w:r>
    </w:p>
    <w:p>
      <w:pPr>
        <w:spacing w:after="120" w:before="80"/>
        <w:jc w:val="both"/>
      </w:pPr>
      <w:r>
        <w:rPr>
          <w:rFonts w:ascii="Arial" w:cs="Arial" w:eastAsia="Arial" w:hAnsi="Arial"/>
          <w:b w:val="false"/>
          <w:bCs w:val="false"/>
          <w:i w:val="false"/>
          <w:iCs w:val="false"/>
          <w:color w:val="1A1A1A"/>
          <w:sz w:val="22"/>
          <w:szCs w:val="22"/>
        </w:rPr>
        <w:t xml:space="preserve">El COPNIA (Consejo Profesional Nacional de Ingeniería y Afines, Colombia) establece el Código de Ética para Ingenieros mediante la Ley 842 de 2003. Los profesionales de AxiaData se rigen por este código en el ejercicio de sus responsabilidades técnicas.</w:t>
      </w:r>
    </w:p>
    <w:p>
      <w:pPr>
        <w:pStyle w:val="ListParagraph"/>
        <w:numPr>
          <w:ilvl w:val="0"/>
          <w:numId w:val="2"/>
        </w:numPr>
        <w:spacing w:after="60" w:before="60"/>
      </w:pPr>
      <w:r>
        <w:rPr>
          <w:rFonts w:ascii="Arial" w:cs="Arial" w:eastAsia="Arial" w:hAnsi="Arial"/>
          <w:color w:val="1A1A1A"/>
          <w:sz w:val="22"/>
          <w:szCs w:val="22"/>
        </w:rPr>
        <w:t xml:space="preserve">Artículo 34 — Responsabilidad con la sociedad: el ingeniero debe proteger el bienestar de la sociedad ante todo. En AxiaData, esto se traduce en el rechazo de cualquier funcionalidad que pueda usarse para discriminación, manipulación o vigilancia masiva.</w:t>
      </w:r>
    </w:p>
    <w:p>
      <w:pPr>
        <w:pStyle w:val="ListParagraph"/>
        <w:numPr>
          <w:ilvl w:val="0"/>
          <w:numId w:val="2"/>
        </w:numPr>
        <w:spacing w:after="60" w:before="60"/>
      </w:pPr>
      <w:r>
        <w:rPr>
          <w:rFonts w:ascii="Arial" w:cs="Arial" w:eastAsia="Arial" w:hAnsi="Arial"/>
          <w:color w:val="1A1A1A"/>
          <w:sz w:val="22"/>
          <w:szCs w:val="22"/>
        </w:rPr>
        <w:t xml:space="preserve">Artículo 35 — Competencia profesional: los ingenieros de AxiaData se comprometen a mantenerse actualizados en técnicas de IA ética, GDPR y buenas prácticas de privacidad, participando en formaciones continuas.</w:t>
      </w:r>
    </w:p>
    <w:p>
      <w:pPr>
        <w:pStyle w:val="ListParagraph"/>
        <w:numPr>
          <w:ilvl w:val="0"/>
          <w:numId w:val="2"/>
        </w:numPr>
        <w:spacing w:after="60" w:before="60"/>
      </w:pPr>
      <w:r>
        <w:rPr>
          <w:rFonts w:ascii="Arial" w:cs="Arial" w:eastAsia="Arial" w:hAnsi="Arial"/>
          <w:color w:val="1A1A1A"/>
          <w:sz w:val="22"/>
          <w:szCs w:val="22"/>
        </w:rPr>
        <w:t xml:space="preserve">Artículo 36 — Veracidad: los reportes y análisis generados por AxiaData reflejan fielmente la realidad de los datos, sin manipulación para favorecer interpretaciones convenientes.</w:t>
      </w:r>
    </w:p>
    <w:p>
      <w:pPr>
        <w:pStyle w:val="ListParagraph"/>
        <w:numPr>
          <w:ilvl w:val="0"/>
          <w:numId w:val="2"/>
        </w:numPr>
        <w:spacing w:after="60" w:before="60"/>
      </w:pPr>
      <w:r>
        <w:rPr>
          <w:rFonts w:ascii="Arial" w:cs="Arial" w:eastAsia="Arial" w:hAnsi="Arial"/>
          <w:color w:val="1A1A1A"/>
          <w:sz w:val="22"/>
          <w:szCs w:val="22"/>
        </w:rPr>
        <w:t xml:space="preserve">Artículo 37 — Protección del medio ambiente: el diseño del sistema considera el impacto ambiental del procesamiento de datos y privilegia soluciones energéticamente eficientes.</w:t>
      </w:r>
    </w:p>
    <w:p>
      <w:pPr>
        <w:pBdr>
          <w:bottom w:val="single" w:color="8C1F28" w:sz="6" w:space="4"/>
        </w:pBdr>
        <w:spacing w:after="150" w:before="300"/>
      </w:pPr>
      <w:r>
        <w:rPr>
          <w:rFonts w:ascii="Arial" w:cs="Arial" w:eastAsia="Arial" w:hAnsi="Arial"/>
          <w:b/>
          <w:bCs/>
          <w:color w:val="8C1F28"/>
          <w:sz w:val="36"/>
          <w:szCs w:val="36"/>
        </w:rPr>
        <w:t xml:space="preserve">9. Conclusiones</w:t>
      </w:r>
    </w:p>
    <w:p>
      <w:pPr>
        <w:spacing w:after="120" w:before="80"/>
        <w:jc w:val="both"/>
      </w:pPr>
      <w:r>
        <w:rPr>
          <w:rFonts w:ascii="Arial" w:cs="Arial" w:eastAsia="Arial" w:hAnsi="Arial"/>
          <w:b w:val="false"/>
          <w:bCs w:val="false"/>
          <w:i w:val="false"/>
          <w:iCs w:val="false"/>
          <w:color w:val="1A1A1A"/>
          <w:sz w:val="22"/>
          <w:szCs w:val="22"/>
        </w:rPr>
        <w:t xml:space="preserve">La dimensión ética de AxiaData no es un requisito accesorio, sino un componente estructural del sistema que condiciona cada decisión de diseño, cada algoritmo implementado y cada dato procesado. La adopción del GDPR como marco rector, complementado con los lineamientos COPNIA, posiciona a AxiaData como un sistema de inteligencia de datos genuinamente responsable.</w:t>
      </w:r>
    </w:p>
    <w:p>
      <w:pPr>
        <w:pStyle w:val="ListParagraph"/>
        <w:numPr>
          <w:ilvl w:val="0"/>
          <w:numId w:val="2"/>
        </w:numPr>
        <w:spacing w:after="60" w:before="60"/>
      </w:pPr>
      <w:r>
        <w:rPr>
          <w:rFonts w:ascii="Arial" w:cs="Arial" w:eastAsia="Arial" w:hAnsi="Arial"/>
          <w:color w:val="1A1A1A"/>
          <w:sz w:val="22"/>
          <w:szCs w:val="22"/>
        </w:rPr>
        <w:t xml:space="preserve">El Código de Ética de AxiaData (6 artículos) establece compromisos claros y verificables que van más allá del cumplimiento legal.</w:t>
      </w:r>
    </w:p>
    <w:p>
      <w:pPr>
        <w:pStyle w:val="ListParagraph"/>
        <w:numPr>
          <w:ilvl w:val="0"/>
          <w:numId w:val="2"/>
        </w:numPr>
        <w:spacing w:after="60" w:before="60"/>
      </w:pPr>
      <w:r>
        <w:rPr>
          <w:rFonts w:ascii="Arial" w:cs="Arial" w:eastAsia="Arial" w:hAnsi="Arial"/>
          <w:color w:val="1A1A1A"/>
          <w:sz w:val="22"/>
          <w:szCs w:val="22"/>
        </w:rPr>
        <w:t xml:space="preserve">La evaluación sistemática de sesgos con 5 tipologías identificadas y métricas de equidad cuantitativas garantiza la imparcialidad del sistema.</w:t>
      </w:r>
    </w:p>
    <w:p>
      <w:pPr>
        <w:pStyle w:val="ListParagraph"/>
        <w:numPr>
          <w:ilvl w:val="0"/>
          <w:numId w:val="2"/>
        </w:numPr>
        <w:spacing w:after="60" w:before="60"/>
      </w:pPr>
      <w:r>
        <w:rPr>
          <w:rFonts w:ascii="Arial" w:cs="Arial" w:eastAsia="Arial" w:hAnsi="Arial"/>
          <w:color w:val="1A1A1A"/>
          <w:sz w:val="22"/>
          <w:szCs w:val="22"/>
        </w:rPr>
        <w:t xml:space="preserve">La implementación de SHAP, LIME y explicaciones contrafactuales hace de AxiaData un sistema explicable y auditable, cumpliendo con el Art. 22 GDPR.</w:t>
      </w:r>
    </w:p>
    <w:p>
      <w:pPr>
        <w:pStyle w:val="ListParagraph"/>
        <w:numPr>
          <w:ilvl w:val="0"/>
          <w:numId w:val="2"/>
        </w:numPr>
        <w:spacing w:after="60" w:before="60"/>
      </w:pPr>
      <w:r>
        <w:rPr>
          <w:rFonts w:ascii="Arial" w:cs="Arial" w:eastAsia="Arial" w:hAnsi="Arial"/>
          <w:color w:val="1A1A1A"/>
          <w:sz w:val="22"/>
          <w:szCs w:val="22"/>
        </w:rPr>
        <w:t xml:space="preserve">El plan de gestión de privacidad con 7 capas de seguridad y cifrado AES-256/TLS 1.3 protege efectivamente los datos personales.</w:t>
      </w:r>
    </w:p>
    <w:p>
      <w:pPr>
        <w:pStyle w:val="ListParagraph"/>
        <w:numPr>
          <w:ilvl w:val="0"/>
          <w:numId w:val="2"/>
        </w:numPr>
        <w:spacing w:after="60" w:before="60"/>
      </w:pPr>
      <w:r>
        <w:rPr>
          <w:rFonts w:ascii="Arial" w:cs="Arial" w:eastAsia="Arial" w:hAnsi="Arial"/>
          <w:color w:val="1A1A1A"/>
          <w:sz w:val="22"/>
          <w:szCs w:val="22"/>
        </w:rPr>
        <w:t xml:space="preserve">La evaluación de impacto ético para 5 grupos de interés demuestra que AxiaData genera valor neto positivo para todos los stakeholders con riesgos adecuadamente mitigados.</w:t>
      </w:r>
    </w:p>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10. Referencias</w:t>
      </w:r>
    </w:p>
    <w:p>
      <w:pPr>
        <w:spacing w:after="120" w:before="80"/>
        <w:jc w:val="both"/>
      </w:pPr>
      <w:r>
        <w:rPr>
          <w:rFonts w:ascii="Arial" w:cs="Arial" w:eastAsia="Arial" w:hAnsi="Arial"/>
          <w:b w:val="false"/>
          <w:bCs w:val="false"/>
          <w:i/>
          <w:iCs/>
          <w:color w:val="1A1A1A"/>
          <w:sz w:val="22"/>
          <w:szCs w:val="22"/>
        </w:rPr>
        <w:t xml:space="preserve">Reglamento (UE) 2016/679 del Parlamento Europeo y del Consejo (GDPR). Diario Oficial de la Unión Europea, 4 de mayo de 2016.</w:t>
      </w:r>
    </w:p>
    <w:p>
      <w:pPr>
        <w:spacing w:after="120" w:before="80"/>
        <w:jc w:val="both"/>
      </w:pPr>
      <w:r>
        <w:rPr>
          <w:rFonts w:ascii="Arial" w:cs="Arial" w:eastAsia="Arial" w:hAnsi="Arial"/>
          <w:b w:val="false"/>
          <w:bCs w:val="false"/>
          <w:i/>
          <w:iCs/>
          <w:color w:val="1A1A1A"/>
          <w:sz w:val="22"/>
          <w:szCs w:val="22"/>
        </w:rPr>
        <w:t xml:space="preserve">Ley 1581 de 2012 — Protección de Datos Personales en Colombia. Congreso de la República de Colombia.</w:t>
      </w:r>
    </w:p>
    <w:p>
      <w:pPr>
        <w:spacing w:after="120" w:before="80"/>
        <w:jc w:val="both"/>
      </w:pPr>
      <w:r>
        <w:rPr>
          <w:rFonts w:ascii="Arial" w:cs="Arial" w:eastAsia="Arial" w:hAnsi="Arial"/>
          <w:b w:val="false"/>
          <w:bCs w:val="false"/>
          <w:i/>
          <w:iCs/>
          <w:color w:val="1A1A1A"/>
          <w:sz w:val="22"/>
          <w:szCs w:val="22"/>
        </w:rPr>
        <w:t xml:space="preserve">Ley 842 de 2003 — Código de Ética para el ejercicio de la Ingeniería. COPNIA, Colombia.</w:t>
      </w:r>
    </w:p>
    <w:p>
      <w:pPr>
        <w:spacing w:after="120" w:before="80"/>
        <w:jc w:val="both"/>
      </w:pPr>
      <w:r>
        <w:rPr>
          <w:rFonts w:ascii="Arial" w:cs="Arial" w:eastAsia="Arial" w:hAnsi="Arial"/>
          <w:b w:val="false"/>
          <w:bCs w:val="false"/>
          <w:i/>
          <w:iCs/>
          <w:color w:val="1A1A1A"/>
          <w:sz w:val="22"/>
          <w:szCs w:val="22"/>
        </w:rPr>
        <w:t xml:space="preserve">Cavoukian, A. (2009). Privacy by Design: The 7 Foundational Principles. Information and Privacy Commissioner of Ontario.</w:t>
      </w:r>
    </w:p>
    <w:p>
      <w:pPr>
        <w:spacing w:after="120" w:before="80"/>
        <w:jc w:val="both"/>
      </w:pPr>
      <w:r>
        <w:rPr>
          <w:rFonts w:ascii="Arial" w:cs="Arial" w:eastAsia="Arial" w:hAnsi="Arial"/>
          <w:b w:val="false"/>
          <w:bCs w:val="false"/>
          <w:i/>
          <w:iCs/>
          <w:color w:val="1A1A1A"/>
          <w:sz w:val="22"/>
          <w:szCs w:val="22"/>
        </w:rPr>
        <w:t xml:space="preserve">Barocas, S., Hardt, M., &amp; Narayanan, A. (2023). Fairness and Machine Learning: Limitations and Opportunities. MIT Press.</w:t>
      </w:r>
    </w:p>
    <w:p>
      <w:pPr>
        <w:spacing w:after="120" w:before="80"/>
        <w:jc w:val="both"/>
      </w:pPr>
      <w:r>
        <w:rPr>
          <w:rFonts w:ascii="Arial" w:cs="Arial" w:eastAsia="Arial" w:hAnsi="Arial"/>
          <w:b w:val="false"/>
          <w:bCs w:val="false"/>
          <w:i/>
          <w:iCs/>
          <w:color w:val="1A1A1A"/>
          <w:sz w:val="22"/>
          <w:szCs w:val="22"/>
        </w:rPr>
        <w:t xml:space="preserve">Lundberg, S., &amp; Lee, S. (2017). A Unified Approach to Interpreting Model Predictions. NeurIPS.</w:t>
      </w:r>
    </w:p>
    <w:p>
      <w:pPr>
        <w:spacing w:after="120" w:before="80"/>
        <w:jc w:val="both"/>
      </w:pPr>
      <w:r>
        <w:rPr>
          <w:rFonts w:ascii="Arial" w:cs="Arial" w:eastAsia="Arial" w:hAnsi="Arial"/>
          <w:b w:val="false"/>
          <w:bCs w:val="false"/>
          <w:i/>
          <w:iCs/>
          <w:color w:val="1A1A1A"/>
          <w:sz w:val="22"/>
          <w:szCs w:val="22"/>
        </w:rPr>
        <w:t xml:space="preserve">OCDE (2019). Principios de la OCDE sobre Inteligencia Artificial. Organización para la Cooperación y el Desarrollo Económicos.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820A" w:sz="4" w:space="4"/>
      </w:pBdr>
      <w:tabs>
        <w:tab w:val="right" w:pos="9360"/>
      </w:tabs>
    </w:pPr>
    <w:r>
      <w:rPr>
        <w:rFonts w:ascii="Arial" w:cs="Arial" w:eastAsia="Arial" w:hAnsi="Arial"/>
        <w:color w:val="7A7A7A"/>
        <w:sz w:val="18"/>
        <w:szCs w:val="18"/>
      </w:rPr>
      <w:t xml:space="preserve">Ética Profesional — Docente: Angelo Alexander Poveda Gil</w:t>
    </w:r>
    <w:r>
      <w:rPr>
        <w:rFonts w:ascii="Arial" w:cs="Arial" w:eastAsia="Arial" w:hAnsi="Arial"/>
        <w:sz w:val="18"/>
        <w:szCs w:val="18"/>
      </w:rPr>
      <w:t xml:space="preserve">	</w:t>
    </w:r>
    <w:r>
      <w:rPr>
        <w:rFonts w:ascii="Arial" w:cs="Arial" w:eastAsia="Arial" w:hAnsi="Arial"/>
        <w:color w:val="7A7A7A"/>
        <w:sz w:val="18"/>
        <w:szCs w:val="18"/>
      </w:rPr>
      <w:t xml:space="preserve">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1F28" w:sz="6" w:space="4"/>
      </w:pBdr>
    </w:pPr>
    <w:r>
      <w:rPr>
        <w:rFonts w:ascii="Arial" w:cs="Arial" w:eastAsia="Arial" w:hAnsi="Arial"/>
        <w:b/>
        <w:bCs/>
        <w:color w:val="8C1F28"/>
        <w:sz w:val="18"/>
        <w:szCs w:val="18"/>
      </w:rPr>
      <w:t xml:space="preserve">FUNDACIÓN UNIVERSITARIA SAN MATEO  |  X Semestre — Grupo 01N31</w:t>
    </w:r>
    <w:r>
      <w:rPr>
        <w:rFonts w:ascii="Arial" w:cs="Arial" w:eastAsia="Arial" w:hAnsi="Arial"/>
        <w:color w:val="7A7A7A"/>
        <w:sz w:val="18"/>
        <w:szCs w:val="18"/>
      </w:rPr>
      <w:t xml:space="preserve">  AxiaData — Sistema Inteligente para la Toma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2026-05-06T03:29:05.219Z</dcterms:created>
  <dcterms:modified xsi:type="dcterms:W3CDTF">2026-05-06T03:29:05.219Z</dcterms:modified>
</cp:coreProperties>
</file>

<file path=docProps/custom.xml><?xml version="1.0" encoding="utf-8"?>
<Properties xmlns="http://schemas.openxmlformats.org/officeDocument/2006/custom-properties" xmlns:vt="http://schemas.openxmlformats.org/officeDocument/2006/docPropsVTypes"/>
</file>