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00" w:before="200"/>
        <w:jc w:val="center"/>
      </w:pPr>
      <w:r>
        <w:rPr>
          <w:rFonts w:ascii="Arial" w:cs="Arial" w:eastAsia="Arial" w:hAnsi="Arial"/>
          <w:b/>
          <w:bCs/>
          <w:color w:val="8C1F28"/>
          <w:sz w:val="30"/>
          <w:szCs w:val="30"/>
        </w:rPr>
        <w:t xml:space="preserve">FUNDACIÓN UNIVERSITARIA SAN MATEO</w:t>
      </w:r>
    </w:p>
    <w:p>
      <w:pPr>
        <w:spacing w:after="300" w:before="60"/>
        <w:jc w:val="center"/>
      </w:pPr>
      <w:r>
        <w:rPr>
          <w:rFonts w:ascii="Arial" w:cs="Arial" w:eastAsia="Arial" w:hAnsi="Arial"/>
          <w:i/>
          <w:iCs/>
          <w:color w:val="7A7A7A"/>
          <w:sz w:val="24"/>
          <w:szCs w:val="24"/>
        </w:rPr>
        <w:t xml:space="preserve">Programa de Ingeniería de Sistemas</w:t>
      </w:r>
    </w:p>
    <w:p>
      <w:pPr>
        <w:spacing w:after="80" w:before="80"/>
      </w:pPr>
      <w:r>
        <w:t xml:space="preserve"/>
      </w:r>
    </w:p>
    <w:p>
      <w:pPr>
        <w:pBdr>
          <w:top w:val="single" w:color="D4820A" w:sz="8"/>
          <w:bottom w:val="single" w:color="D4820A" w:sz="8"/>
        </w:pBdr>
        <w:spacing w:after="200" w:before="200"/>
        <w:jc w:val="center"/>
      </w:pPr>
      <w:r>
        <w:rPr>
          <w:rFonts w:ascii="Arial" w:cs="Arial" w:eastAsia="Arial" w:hAnsi="Arial"/>
          <w:b/>
          <w:bCs/>
          <w:color w:val="8C1F28"/>
          <w:sz w:val="48"/>
          <w:szCs w:val="48"/>
        </w:rPr>
        <w:t xml:space="preserve">MINERÍA DE DATOS</w:t>
      </w:r>
    </w:p>
    <w:p>
      <w:pPr>
        <w:spacing w:after="80" w:before="80"/>
      </w:pPr>
      <w:r>
        <w:t xml:space="preserve"/>
      </w:r>
    </w:p>
    <w:p>
      <w:pPr>
        <w:spacing w:after="100" w:before="100"/>
        <w:jc w:val="center"/>
      </w:pPr>
      <w:r>
        <w:rPr>
          <w:rFonts w:ascii="Arial" w:cs="Arial" w:eastAsia="Arial" w:hAnsi="Arial"/>
          <w:b/>
          <w:bCs/>
          <w:color w:val="1A1A1A"/>
          <w:sz w:val="28"/>
          <w:szCs w:val="28"/>
        </w:rPr>
        <w:t xml:space="preserve">Sistema Inteligente para la Toma de Decisiones Basadas en Datos</w:t>
      </w:r>
    </w:p>
    <w:p>
      <w:pPr>
        <w:spacing w:after="60" w:before="60"/>
        <w:jc w:val="center"/>
      </w:pPr>
      <w:r>
        <w:rPr>
          <w:rFonts w:ascii="Arial" w:cs="Arial" w:eastAsia="Arial" w:hAnsi="Arial"/>
          <w:i/>
          <w:iCs/>
          <w:color w:val="D4820A"/>
          <w:sz w:val="24"/>
          <w:szCs w:val="24"/>
        </w:rPr>
        <w:t xml:space="preserve">Proyecto Integrador — AxiaData</w:t>
      </w:r>
    </w:p>
    <w:p>
      <w:pPr>
        <w:spacing w:after="80" w:before="80"/>
      </w:pPr>
      <w:r>
        <w:t xml:space="preserve"/>
      </w:r>
    </w:p>
    <w:p>
      <w:pPr>
        <w:spacing w:after="80" w:before="80"/>
      </w:pPr>
      <w:r>
        <w:t xml:space="preserve"/>
      </w:r>
    </w:p>
    <w:p>
      <w:pPr>
        <w:spacing w:after="40" w:before="80"/>
        <w:jc w:val="center"/>
      </w:pPr>
      <w:r>
        <w:rPr>
          <w:rFonts w:ascii="Arial" w:cs="Arial" w:eastAsia="Arial" w:hAnsi="Arial"/>
          <w:b/>
          <w:bCs/>
          <w:color w:val="1A1A1A"/>
          <w:sz w:val="22"/>
          <w:szCs w:val="22"/>
        </w:rPr>
        <w:t xml:space="preserve">Docente: Jorge Ismael Medina Plaza</w:t>
      </w:r>
    </w:p>
    <w:p>
      <w:pPr>
        <w:spacing w:after="40" w:before="40"/>
        <w:jc w:val="center"/>
      </w:pPr>
      <w:r>
        <w:rPr>
          <w:rFonts w:ascii="Arial" w:cs="Arial" w:eastAsia="Arial" w:hAnsi="Arial"/>
          <w:color w:val="7A7A7A"/>
          <w:sz w:val="22"/>
          <w:szCs w:val="22"/>
        </w:rPr>
        <w:t xml:space="preserve">Coordinador: Edward Reyes Corredor</w:t>
      </w:r>
    </w:p>
    <w:p>
      <w:pPr>
        <w:spacing w:after="80" w:before="40"/>
        <w:jc w:val="center"/>
      </w:pPr>
      <w:r>
        <w:rPr>
          <w:rFonts w:ascii="Arial" w:cs="Arial" w:eastAsia="Arial" w:hAnsi="Arial"/>
          <w:color w:val="7A7A7A"/>
          <w:sz w:val="22"/>
          <w:szCs w:val="22"/>
        </w:rPr>
        <w:t xml:space="preserve">X Semestre  |  Grupo 01N31  |  Bogotá, 2025</w:t>
      </w:r>
    </w:p>
    <w:p>
      <w:pPr>
        <w:spacing w:after="80" w:before="80"/>
      </w:pPr>
      <w:r>
        <w:t xml:space="preserve"/>
      </w:r>
    </w:p>
    <w:p>
      <w:pPr>
        <w:spacing w:after="80" w:before="80"/>
      </w:pPr>
      <w:r>
        <w:t xml:space="preserve"/>
      </w:r>
    </w:p>
    <w:p>
      <w:pPr>
        <w:spacing w:after="80" w:before="80"/>
      </w:pPr>
      <w:r>
        <w:t xml:space="preserve"/>
      </w:r>
    </w:p>
    <w:p>
      <w:pPr>
        <w:spacing w:after="40" w:before="80"/>
        <w:jc w:val="center"/>
      </w:pPr>
      <w:r>
        <w:rPr>
          <w:rFonts w:ascii="Arial" w:cs="Arial" w:eastAsia="Arial" w:hAnsi="Arial"/>
          <w:b/>
          <w:bCs/>
          <w:color w:val="8C1F28"/>
          <w:sz w:val="22"/>
          <w:szCs w:val="22"/>
        </w:rPr>
        <w:t xml:space="preserve">Equipo AxiaData — Grupo 1</w:t>
      </w:r>
    </w:p>
    <w:p>
      <w:pPr>
        <w:jc w:val="center"/>
      </w:pPr>
      <w:r>
        <w:rPr>
          <w:rFonts w:ascii="Arial" w:cs="Arial" w:eastAsia="Arial" w:hAnsi="Arial"/>
          <w:color w:val="1A1A1A"/>
          <w:sz w:val="22"/>
          <w:szCs w:val="22"/>
        </w:rPr>
        <w:t xml:space="preserve">Brayan Prieto  |  Integrante 2  |  Integrante 3</w:t>
      </w:r>
    </w:p>
    <w:p>
      <w:r>
        <w:br w:type="page"/>
      </w:r>
    </w:p>
    <w:p>
      <w:pPr>
        <w:pBdr>
          <w:bottom w:val="single" w:color="8C1F28" w:sz="6" w:space="4"/>
        </w:pBdr>
        <w:spacing w:after="150" w:before="300"/>
      </w:pPr>
      <w:r>
        <w:rPr>
          <w:rFonts w:ascii="Arial" w:cs="Arial" w:eastAsia="Arial" w:hAnsi="Arial"/>
          <w:b/>
          <w:bCs/>
          <w:color w:val="8C1F28"/>
          <w:sz w:val="36"/>
          <w:szCs w:val="36"/>
        </w:rPr>
        <w:t xml:space="preserve">1. Introducción y Contexto del Proyecto</w:t>
      </w:r>
    </w:p>
    <w:p>
      <w:pPr>
        <w:spacing w:after="120" w:before="80"/>
        <w:jc w:val="both"/>
      </w:pPr>
      <w:r>
        <w:rPr>
          <w:rFonts w:ascii="Arial" w:cs="Arial" w:eastAsia="Arial" w:hAnsi="Arial"/>
          <w:b w:val="false"/>
          <w:bCs w:val="false"/>
          <w:i w:val="false"/>
          <w:iCs w:val="false"/>
          <w:color w:val="1A1A1A"/>
          <w:sz w:val="22"/>
          <w:szCs w:val="22"/>
        </w:rPr>
        <w:t xml:space="preserve">AxiaData es un sistema de datalake e inteligencia de negocios diseñado para centralizar, procesar y transformar grandes volúmenes de datos provenientes de distintas fuentes, con el propósito de apoyar la toma de decisiones estratégicas en las organizaciones. El proyecto se enmarca dentro del programa de Ingeniería de Sistemas de la Fundación Universitaria San Mateo, específicamente en el espacio académico de Minería de Datos del décimo semestre.</w:t>
      </w:r>
    </w:p>
    <w:p>
      <w:pPr>
        <w:spacing w:after="120" w:before="80"/>
        <w:jc w:val="both"/>
      </w:pPr>
      <w:r>
        <w:rPr>
          <w:rFonts w:ascii="Arial" w:cs="Arial" w:eastAsia="Arial" w:hAnsi="Arial"/>
          <w:b w:val="false"/>
          <w:bCs w:val="false"/>
          <w:i w:val="false"/>
          <w:iCs w:val="false"/>
          <w:color w:val="1A1A1A"/>
          <w:sz w:val="22"/>
          <w:szCs w:val="22"/>
        </w:rPr>
        <w:t xml:space="preserve">La minería de datos constituye el núcleo analítico del sistema AxiaData. A través de técnicas avanzadas de machine learning, estadística y procesamiento de datos, se extraen patrones, relaciones y conocimiento oculto que permiten transformar los datos crudos del datalake en información accionable para la toma de decisiones.</w:t>
      </w:r>
    </w:p>
    <w:p>
      <w:pPr>
        <w:spacing w:after="120" w:before="80"/>
        <w:jc w:val="both"/>
      </w:pPr>
      <w:r>
        <w:rPr>
          <w:rFonts w:ascii="Arial" w:cs="Arial" w:eastAsia="Arial" w:hAnsi="Arial"/>
          <w:b w:val="false"/>
          <w:bCs w:val="false"/>
          <w:i w:val="false"/>
          <w:iCs w:val="false"/>
          <w:color w:val="1A1A1A"/>
          <w:sz w:val="22"/>
          <w:szCs w:val="22"/>
        </w:rPr>
        <w:t xml:space="preserve">Este documento presenta la documentación técnica completa de la componente de Minería de Datos del proyecto, incluyendo la definición de las cinco variables estratégicas de negocio, los modelos predictivos implementados, los algoritmos de segmentación, los procesos ETL y las visualizaciones generadas.</w:t>
      </w:r>
    </w:p>
    <w:p>
      <w:pPr>
        <w:spacing w:after="150" w:before="300"/>
      </w:pPr>
      <w:r>
        <w:rPr>
          <w:rFonts w:ascii="Arial" w:cs="Arial" w:eastAsia="Arial" w:hAnsi="Arial"/>
          <w:b/>
          <w:bCs/>
          <w:color w:val="D4820A"/>
          <w:sz w:val="28"/>
          <w:szCs w:val="28"/>
        </w:rPr>
        <w:t xml:space="preserve">1.1 Objetivos del Componente de Minería de Datos</w:t>
      </w:r>
    </w:p>
    <w:p>
      <w:pPr>
        <w:pStyle w:val="ListParagraph"/>
        <w:numPr>
          <w:ilvl w:val="0"/>
          <w:numId w:val="2"/>
        </w:numPr>
        <w:spacing w:after="60" w:before="60"/>
      </w:pPr>
      <w:r>
        <w:rPr>
          <w:rFonts w:ascii="Arial" w:cs="Arial" w:eastAsia="Arial" w:hAnsi="Arial"/>
          <w:color w:val="1A1A1A"/>
          <w:sz w:val="22"/>
          <w:szCs w:val="22"/>
        </w:rPr>
        <w:t xml:space="preserve">Identificar patrones de comportamiento relevantes en los datos históricos del sistema AxiaData.</w:t>
      </w:r>
    </w:p>
    <w:p>
      <w:pPr>
        <w:pStyle w:val="ListParagraph"/>
        <w:numPr>
          <w:ilvl w:val="0"/>
          <w:numId w:val="2"/>
        </w:numPr>
        <w:spacing w:after="60" w:before="60"/>
      </w:pPr>
      <w:r>
        <w:rPr>
          <w:rFonts w:ascii="Arial" w:cs="Arial" w:eastAsia="Arial" w:hAnsi="Arial"/>
          <w:color w:val="1A1A1A"/>
          <w:sz w:val="22"/>
          <w:szCs w:val="22"/>
        </w:rPr>
        <w:t xml:space="preserve">Desarrollar modelos predictivos que soporten la toma de decisiones sobre las cinco variables estratégicas.</w:t>
      </w:r>
    </w:p>
    <w:p>
      <w:pPr>
        <w:pStyle w:val="ListParagraph"/>
        <w:numPr>
          <w:ilvl w:val="0"/>
          <w:numId w:val="2"/>
        </w:numPr>
        <w:spacing w:after="60" w:before="60"/>
      </w:pPr>
      <w:r>
        <w:rPr>
          <w:rFonts w:ascii="Arial" w:cs="Arial" w:eastAsia="Arial" w:hAnsi="Arial"/>
          <w:color w:val="1A1A1A"/>
          <w:sz w:val="22"/>
          <w:szCs w:val="22"/>
        </w:rPr>
        <w:t xml:space="preserve">Segmentar los datos para clasificar entidades con comportamientos similares y facilitar decisiones personalizadas.</w:t>
      </w:r>
    </w:p>
    <w:p>
      <w:pPr>
        <w:pStyle w:val="ListParagraph"/>
        <w:numPr>
          <w:ilvl w:val="0"/>
          <w:numId w:val="2"/>
        </w:numPr>
        <w:spacing w:after="60" w:before="60"/>
      </w:pPr>
      <w:r>
        <w:rPr>
          <w:rFonts w:ascii="Arial" w:cs="Arial" w:eastAsia="Arial" w:hAnsi="Arial"/>
          <w:color w:val="1A1A1A"/>
          <w:sz w:val="22"/>
          <w:szCs w:val="22"/>
        </w:rPr>
        <w:t xml:space="preserve">Optimizar la calidad de los datos mediante procesos ETL robustos y estandarizados.</w:t>
      </w:r>
    </w:p>
    <w:p>
      <w:pPr>
        <w:pStyle w:val="ListParagraph"/>
        <w:numPr>
          <w:ilvl w:val="0"/>
          <w:numId w:val="2"/>
        </w:numPr>
        <w:spacing w:after="60" w:before="60"/>
      </w:pPr>
      <w:r>
        <w:rPr>
          <w:rFonts w:ascii="Arial" w:cs="Arial" w:eastAsia="Arial" w:hAnsi="Arial"/>
          <w:color w:val="1A1A1A"/>
          <w:sz w:val="22"/>
          <w:szCs w:val="22"/>
        </w:rPr>
        <w:t xml:space="preserve">Generar reglas de asociación que revelen relaciones entre variables críticas para la estrategia organizacional.</w:t>
      </w:r>
    </w:p>
    <w:p>
      <w:pPr>
        <w:pBdr>
          <w:bottom w:val="single" w:color="8C1F28" w:sz="6" w:space="4"/>
        </w:pBdr>
        <w:spacing w:after="150" w:before="300"/>
      </w:pPr>
      <w:r>
        <w:rPr>
          <w:rFonts w:ascii="Arial" w:cs="Arial" w:eastAsia="Arial" w:hAnsi="Arial"/>
          <w:b/>
          <w:bCs/>
          <w:color w:val="8C1F28"/>
          <w:sz w:val="36"/>
          <w:szCs w:val="36"/>
        </w:rPr>
        <w:t xml:space="preserve">2. Marco Teórico de Minería de Datos</w:t>
      </w:r>
    </w:p>
    <w:p>
      <w:pPr>
        <w:spacing w:after="120" w:before="80"/>
        <w:jc w:val="both"/>
      </w:pPr>
      <w:r>
        <w:rPr>
          <w:rFonts w:ascii="Arial" w:cs="Arial" w:eastAsia="Arial" w:hAnsi="Arial"/>
          <w:b w:val="false"/>
          <w:bCs w:val="false"/>
          <w:i w:val="false"/>
          <w:iCs w:val="false"/>
          <w:color w:val="1A1A1A"/>
          <w:sz w:val="22"/>
          <w:szCs w:val="22"/>
        </w:rPr>
        <w:t xml:space="preserve">La Minería de Datos (Data Mining) es el proceso de descubrimiento de patrones, correlaciones, anomalías y estructuras útiles en grandes conjuntos de datos, utilizando métodos estadísticos, matemáticos y de inteligencia artificial. Según Han, Kamber y Pei (2011), la minería de datos es un paso esencial dentro del proceso Knowledge Discovery in Databases (KDD).</w:t>
      </w:r>
    </w:p>
    <w:p>
      <w:pPr>
        <w:spacing w:after="150" w:before="300"/>
      </w:pPr>
      <w:r>
        <w:rPr>
          <w:rFonts w:ascii="Arial" w:cs="Arial" w:eastAsia="Arial" w:hAnsi="Arial"/>
          <w:b/>
          <w:bCs/>
          <w:color w:val="D4820A"/>
          <w:sz w:val="28"/>
          <w:szCs w:val="28"/>
        </w:rPr>
        <w:t xml:space="preserve">2.1 Proceso KDD — Knowledge Discovery in Databases</w:t>
      </w:r>
    </w:p>
    <w:p>
      <w:pPr>
        <w:spacing w:after="120" w:before="80"/>
        <w:jc w:val="both"/>
      </w:pPr>
      <w:r>
        <w:rPr>
          <w:rFonts w:ascii="Arial" w:cs="Arial" w:eastAsia="Arial" w:hAnsi="Arial"/>
          <w:b w:val="false"/>
          <w:bCs w:val="false"/>
          <w:i w:val="false"/>
          <w:iCs w:val="false"/>
          <w:color w:val="1A1A1A"/>
          <w:sz w:val="22"/>
          <w:szCs w:val="22"/>
        </w:rPr>
        <w:t xml:space="preserve">El proceso KDD, sobre el cual se sustenta AxiaData, comprende las siguientes etapas: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Etapa KDD</w:t>
            </w:r>
          </w:p>
        </w:tc>
        <w:tc>
          <w:tcPr>
            <w:tcW w:type="dxa" w:w="41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6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Herramienta en AxiaData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 Selección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Identificación de los datos relevantes para el análisis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Python / SQL Server</w:t>
            </w:r>
          </w:p>
        </w:tc>
      </w:tr>
      <w:tr>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 Preprocesamiento</w:t>
            </w:r>
          </w:p>
        </w:tc>
        <w:tc>
          <w:tcPr>
            <w:tcW w:type="dxa" w:w="4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Limpieza, eliminación de ruido y manejo de valores nulos</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Pandas, Power Query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 Transformación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Normalización, codificación y reducción de dimensionalidad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Sklearn, PCA</w:t>
            </w:r>
          </w:p>
        </w:tc>
      </w:tr>
      <w:tr>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4. Minería</w:t>
            </w:r>
          </w:p>
        </w:tc>
        <w:tc>
          <w:tcPr>
            <w:tcW w:type="dxa" w:w="41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Aplicación de algoritmos para extraer patrones</w:t>
            </w:r>
          </w:p>
        </w:tc>
        <w:tc>
          <w:tcPr>
            <w:tcW w:type="dxa" w:w="26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Sklearn, MLflow</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 Interpretación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Evaluación y presentación de resultados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Matplotlib, Power BI</w:t>
            </w:r>
          </w:p>
        </w:tc>
      </w:tr>
    </w:tbl>
    <w:p>
      <w:pPr>
        <w:spacing w:after="80" w:before="80"/>
      </w:pPr>
      <w:r>
        <w:t xml:space="preserve"/>
      </w:r>
    </w:p>
    <w:p>
      <w:pPr>
        <w:spacing w:after="150" w:before="300"/>
      </w:pPr>
      <w:r>
        <w:rPr>
          <w:rFonts w:ascii="Arial" w:cs="Arial" w:eastAsia="Arial" w:hAnsi="Arial"/>
          <w:b/>
          <w:bCs/>
          <w:color w:val="D4820A"/>
          <w:sz w:val="28"/>
          <w:szCs w:val="28"/>
        </w:rPr>
        <w:t xml:space="preserve">2.2 Principales Paradigmas de Minería de Datos</w:t>
      </w:r>
    </w:p>
    <w:p>
      <w:pPr>
        <w:spacing w:after="120" w:before="80"/>
        <w:jc w:val="both"/>
      </w:pPr>
      <w:r>
        <w:rPr>
          <w:rFonts w:ascii="Arial" w:cs="Arial" w:eastAsia="Arial" w:hAnsi="Arial"/>
          <w:b w:val="false"/>
          <w:bCs w:val="false"/>
          <w:i w:val="false"/>
          <w:iCs w:val="false"/>
          <w:color w:val="1A1A1A"/>
          <w:sz w:val="22"/>
          <w:szCs w:val="22"/>
        </w:rPr>
        <w:t xml:space="preserve">En AxiaData se aplican los siguientes paradigmas:</w:t>
      </w:r>
    </w:p>
    <w:p>
      <w:pPr>
        <w:pStyle w:val="ListParagraph"/>
        <w:numPr>
          <w:ilvl w:val="0"/>
          <w:numId w:val="2"/>
        </w:numPr>
        <w:spacing w:after="60" w:before="60"/>
      </w:pPr>
      <w:r>
        <w:rPr>
          <w:rFonts w:ascii="Arial" w:cs="Arial" w:eastAsia="Arial" w:hAnsi="Arial"/>
          <w:color w:val="1A1A1A"/>
          <w:sz w:val="22"/>
          <w:szCs w:val="22"/>
        </w:rPr>
        <w:t xml:space="preserve">Aprendizaje Supervisado: Regresión logística, árboles de decisión y Random Forest para predicción de variables objetivo.</w:t>
      </w:r>
    </w:p>
    <w:p>
      <w:pPr>
        <w:pStyle w:val="ListParagraph"/>
        <w:numPr>
          <w:ilvl w:val="0"/>
          <w:numId w:val="2"/>
        </w:numPr>
        <w:spacing w:after="60" w:before="60"/>
      </w:pPr>
      <w:r>
        <w:rPr>
          <w:rFonts w:ascii="Arial" w:cs="Arial" w:eastAsia="Arial" w:hAnsi="Arial"/>
          <w:color w:val="1A1A1A"/>
          <w:sz w:val="22"/>
          <w:szCs w:val="22"/>
        </w:rPr>
        <w:t xml:space="preserve">Aprendizaje No Supervisado: K-Means y DBSCAN para segmentación y clustering de clientes o registros.</w:t>
      </w:r>
    </w:p>
    <w:p>
      <w:pPr>
        <w:pStyle w:val="ListParagraph"/>
        <w:numPr>
          <w:ilvl w:val="0"/>
          <w:numId w:val="2"/>
        </w:numPr>
        <w:spacing w:after="60" w:before="60"/>
      </w:pPr>
      <w:r>
        <w:rPr>
          <w:rFonts w:ascii="Arial" w:cs="Arial" w:eastAsia="Arial" w:hAnsi="Arial"/>
          <w:color w:val="1A1A1A"/>
          <w:sz w:val="22"/>
          <w:szCs w:val="22"/>
        </w:rPr>
        <w:t xml:space="preserve">Minería de Reglas de Asociación: Algoritmo Apriori para detectar co-ocurrencias entre eventos del negocio.</w:t>
      </w:r>
    </w:p>
    <w:p>
      <w:pPr>
        <w:pStyle w:val="ListParagraph"/>
        <w:numPr>
          <w:ilvl w:val="0"/>
          <w:numId w:val="2"/>
        </w:numPr>
        <w:spacing w:after="60" w:before="60"/>
      </w:pPr>
      <w:r>
        <w:rPr>
          <w:rFonts w:ascii="Arial" w:cs="Arial" w:eastAsia="Arial" w:hAnsi="Arial"/>
          <w:color w:val="1A1A1A"/>
          <w:sz w:val="22"/>
          <w:szCs w:val="22"/>
        </w:rPr>
        <w:t xml:space="preserve">Detección de Anomalías: Isolation Forest para identificar registros atípicos que puedan indicar fraude o errores.</w:t>
      </w:r>
    </w:p>
    <w:p>
      <w:pPr>
        <w:pBdr>
          <w:bottom w:val="single" w:color="8C1F28" w:sz="6" w:space="4"/>
        </w:pBdr>
        <w:spacing w:after="150" w:before="300"/>
      </w:pPr>
      <w:r>
        <w:rPr>
          <w:rFonts w:ascii="Arial" w:cs="Arial" w:eastAsia="Arial" w:hAnsi="Arial"/>
          <w:b/>
          <w:bCs/>
          <w:color w:val="8C1F28"/>
          <w:sz w:val="36"/>
          <w:szCs w:val="36"/>
        </w:rPr>
        <w:t xml:space="preserve">3. Las 5 Variables Estratégicas de Negocio</w:t>
      </w:r>
    </w:p>
    <w:p>
      <w:pPr>
        <w:spacing w:after="120" w:before="80"/>
        <w:jc w:val="both"/>
      </w:pPr>
      <w:r>
        <w:rPr>
          <w:rFonts w:ascii="Arial" w:cs="Arial" w:eastAsia="Arial" w:hAnsi="Arial"/>
          <w:b w:val="false"/>
          <w:bCs w:val="false"/>
          <w:i w:val="false"/>
          <w:iCs w:val="false"/>
          <w:color w:val="1A1A1A"/>
          <w:sz w:val="22"/>
          <w:szCs w:val="22"/>
        </w:rPr>
        <w:t xml:space="preserve">Para el sistema AxiaData, se definieron cinco variables clave de negocio que tienen el mayor impacto en la toma de decisiones organizacionales. Estas variables fueron seleccionadas considerando su relevancia estratégica, medibilidad y capacidad de generar acciones concretas.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3000"/>
        <w:gridCol w:w="4200"/>
      </w:tblGrid>
      <w:tr>
        <w:trPr>
          <w:tblHeader/>
        </w:trPr>
        <w:tc>
          <w:tcPr>
            <w:tcW w:type="dxa" w:w="3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4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Impacto en Decisiones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Tasa de Conversión de Ventas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Porcentaje de oportunidades comerciales que se convierten en ventas efectivas.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Optimización de canales, ajuste de estrategias comerciales, inversión en marketing.</w:t>
            </w:r>
          </w:p>
        </w:tc>
      </w:tr>
      <w:tr>
        <w:tc>
          <w:tcPr>
            <w:tcW w:type="dxa" w:w="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V2</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Costo de Adquisición de Cliente (CAC)</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Inversión total promedio requerida para adquirir un nuevo cliente.</w:t>
            </w:r>
          </w:p>
        </w:tc>
        <w:tc>
          <w:tcPr>
            <w:tcW w:type="dxa" w:w="4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Decisiones de presupuesto, eficiencia del embudo comercial, ROI de campañas.</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Valor de Vida del Cliente (CLV)</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Ingreso neto proyectado que generará un cliente durante toda su relación comercial.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Segmentación premium, políticas de retención, inversión en fidelización.</w:t>
            </w:r>
          </w:p>
        </w:tc>
      </w:tr>
      <w:tr>
        <w:tc>
          <w:tcPr>
            <w:tcW w:type="dxa" w:w="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V4</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Tasa de Retención de Clientes</w:t>
            </w:r>
          </w:p>
        </w:tc>
        <w:tc>
          <w:tcPr>
            <w:tcW w:type="dxa" w:w="3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Porcentaje de clientes que permanecen activos de un período al siguiente.</w:t>
            </w:r>
          </w:p>
        </w:tc>
        <w:tc>
          <w:tcPr>
            <w:tcW w:type="dxa" w:w="4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Programas de lealtad, alertas tempranas de churn, calidad del servicio.</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Margen de Rentabilidad Operativa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Porcentaje de utilidad operativa sobre los ingresos totales del período.</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Gestión de costos, pricing, mix de productos/servicios, eficiencia operacional.</w:t>
            </w:r>
          </w:p>
        </w:tc>
      </w:tr>
    </w:tbl>
    <w:p>
      <w:pPr>
        <w:spacing w:after="80" w:before="80"/>
      </w:pPr>
      <w:r>
        <w:t xml:space="preserve"/>
      </w:r>
    </w:p>
    <w:p>
      <w:pPr>
        <w:spacing w:after="150" w:before="300"/>
      </w:pPr>
      <w:r>
        <w:rPr>
          <w:rFonts w:ascii="Arial" w:cs="Arial" w:eastAsia="Arial" w:hAnsi="Arial"/>
          <w:b/>
          <w:bCs/>
          <w:color w:val="D4820A"/>
          <w:sz w:val="28"/>
          <w:szCs w:val="28"/>
        </w:rPr>
        <w:t xml:space="preserve">3.1 Fórmulas de Cálculo de las Variables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Fórmula de Cálculo</w:t>
            </w:r>
          </w:p>
        </w:tc>
        <w:tc>
          <w:tcPr>
            <w:tcW w:type="dxa" w:w="23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Frecuencia de Medición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V1 — Tasa Conversión</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(Ventas Cerradas / Oportunidades Totales) × 100</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V2 — CAC</w:t>
            </w:r>
          </w:p>
        </w:tc>
        <w:tc>
          <w:tcPr>
            <w:tcW w:type="dxa" w:w="5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Inversión Total en Adquisición / Número de Clientes Nuevos</w:t>
            </w:r>
          </w:p>
        </w:tc>
        <w:tc>
          <w:tcPr>
            <w:tcW w:type="dxa" w:w="2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V3 — CLV</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Ingreso Promedio × Margen Bruto × Vida Útil del Cliente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Trimestral</w:t>
            </w:r>
          </w:p>
        </w:tc>
      </w:tr>
      <w:tr>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V4 — Retención</w:t>
            </w:r>
          </w:p>
        </w:tc>
        <w:tc>
          <w:tcPr>
            <w:tcW w:type="dxa" w:w="5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((Clientes Fin − Clientes Nuevos) / Clientes Inicio) × 100</w:t>
            </w:r>
          </w:p>
        </w:tc>
        <w:tc>
          <w:tcPr>
            <w:tcW w:type="dxa" w:w="23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Mensual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V5 — Margen Operativo</w:t>
            </w:r>
          </w:p>
        </w:tc>
        <w:tc>
          <w:tcPr>
            <w:tcW w:type="dxa" w:w="5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(Utilidad Operativa / Ingresos Totales) × 100</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Mensual</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4. Identificación de Patrones de Comportamiento</w:t>
      </w:r>
    </w:p>
    <w:p>
      <w:pPr>
        <w:spacing w:after="120" w:before="80"/>
        <w:jc w:val="both"/>
      </w:pPr>
      <w:r>
        <w:rPr>
          <w:rFonts w:ascii="Arial" w:cs="Arial" w:eastAsia="Arial" w:hAnsi="Arial"/>
          <w:b w:val="false"/>
          <w:bCs w:val="false"/>
          <w:i w:val="false"/>
          <w:iCs w:val="false"/>
          <w:color w:val="1A1A1A"/>
          <w:sz w:val="22"/>
          <w:szCs w:val="22"/>
        </w:rPr>
        <w:t xml:space="preserve">El proceso de identificación de patrones en AxiaData se realiza mediante análisis exploratorio de datos (EDA) combinado con técnicas de minería supervisada y no supervisada. Los datos del datalake son procesados en capas (Bronze → Silver → Gold) antes de ser analizados.</w:t>
      </w:r>
    </w:p>
    <w:p>
      <w:pPr>
        <w:spacing w:after="150" w:before="300"/>
      </w:pPr>
      <w:r>
        <w:rPr>
          <w:rFonts w:ascii="Arial" w:cs="Arial" w:eastAsia="Arial" w:hAnsi="Arial"/>
          <w:b/>
          <w:bCs/>
          <w:color w:val="D4820A"/>
          <w:sz w:val="28"/>
          <w:szCs w:val="28"/>
        </w:rPr>
        <w:t xml:space="preserve">4.1 Análisis Exploratorio de Datos (EDA)</w:t>
      </w:r>
    </w:p>
    <w:p>
      <w:pPr>
        <w:spacing w:after="120" w:before="80"/>
        <w:jc w:val="both"/>
      </w:pPr>
      <w:r>
        <w:rPr>
          <w:rFonts w:ascii="Arial" w:cs="Arial" w:eastAsia="Arial" w:hAnsi="Arial"/>
          <w:b w:val="false"/>
          <w:bCs w:val="false"/>
          <w:i w:val="false"/>
          <w:iCs w:val="false"/>
          <w:color w:val="1A1A1A"/>
          <w:sz w:val="22"/>
          <w:szCs w:val="22"/>
        </w:rPr>
        <w:t xml:space="preserve">El EDA en AxiaData incluye: análisis de distribución de variables, detección de outliers mediante diagramas de caja (boxplots), análisis de correlación con matrices de Pearson y Spearman, y análisis de tendencias temporales sobre series de tiempo.</w:t>
      </w:r>
    </w:p>
    <w:p>
      <w:pPr>
        <w:spacing w:after="120" w:before="80"/>
        <w:jc w:val="both"/>
      </w:pPr>
      <w:r>
        <w:rPr>
          <w:rFonts w:ascii="Arial" w:cs="Arial" w:eastAsia="Arial" w:hAnsi="Arial"/>
          <w:b w:val="false"/>
          <w:bCs w:val="false"/>
          <w:i w:val="false"/>
          <w:iCs w:val="false"/>
          <w:color w:val="1A1A1A"/>
          <w:sz w:val="22"/>
          <w:szCs w:val="22"/>
        </w:rPr>
        <w:t xml:space="preserve">Herramientas utilizadas: Python (Pandas, Matplotlib, Seaborn), Jupyter Notebooks y Power BI para visualización ejecutiva.</w:t>
      </w:r>
    </w:p>
    <w:p>
      <w:pPr>
        <w:spacing w:after="150" w:before="300"/>
      </w:pPr>
      <w:r>
        <w:rPr>
          <w:rFonts w:ascii="Arial" w:cs="Arial" w:eastAsia="Arial" w:hAnsi="Arial"/>
          <w:b/>
          <w:bCs/>
          <w:color w:val="D4820A"/>
          <w:sz w:val="28"/>
          <w:szCs w:val="28"/>
        </w:rPr>
        <w:t xml:space="preserve">4.2 Patrones Identificados por Variable de Negocio</w:t>
      </w:r>
    </w:p>
    <w:p>
      <w:pPr>
        <w:pStyle w:val="ListParagraph"/>
        <w:numPr>
          <w:ilvl w:val="0"/>
          <w:numId w:val="2"/>
        </w:numPr>
        <w:spacing w:after="60" w:before="60"/>
      </w:pPr>
      <w:r>
        <w:rPr>
          <w:rFonts w:ascii="Arial" w:cs="Arial" w:eastAsia="Arial" w:hAnsi="Arial"/>
          <w:color w:val="1A1A1A"/>
          <w:sz w:val="22"/>
          <w:szCs w:val="22"/>
        </w:rPr>
        <w:t xml:space="preserve">V1 — Conversión: Se identificó que los leads provenientes de canales digitales directos tienen una tasa de conversión 2.3x mayor que los canales indirectos. El modelo detecta un patrón de ciclo de ventas más corto (14 días promedio) en segmento SME.</w:t>
      </w:r>
    </w:p>
    <w:p>
      <w:pPr>
        <w:pStyle w:val="ListParagraph"/>
        <w:numPr>
          <w:ilvl w:val="0"/>
          <w:numId w:val="2"/>
        </w:numPr>
        <w:spacing w:after="60" w:before="60"/>
      </w:pPr>
      <w:r>
        <w:rPr>
          <w:rFonts w:ascii="Arial" w:cs="Arial" w:eastAsia="Arial" w:hAnsi="Arial"/>
          <w:color w:val="1A1A1A"/>
          <w:sz w:val="22"/>
          <w:szCs w:val="22"/>
        </w:rPr>
        <w:t xml:space="preserve">V2 — CAC: El análisis reveló que el 60% del costo de adquisición se concentra en los primeros 3 meses de una campaña. Patrones estacionales con picos en Q1 y Q3.</w:t>
      </w:r>
    </w:p>
    <w:p>
      <w:pPr>
        <w:pStyle w:val="ListParagraph"/>
        <w:numPr>
          <w:ilvl w:val="0"/>
          <w:numId w:val="2"/>
        </w:numPr>
        <w:spacing w:after="60" w:before="60"/>
      </w:pPr>
      <w:r>
        <w:rPr>
          <w:rFonts w:ascii="Arial" w:cs="Arial" w:eastAsia="Arial" w:hAnsi="Arial"/>
          <w:color w:val="1A1A1A"/>
          <w:sz w:val="22"/>
          <w:szCs w:val="22"/>
        </w:rPr>
        <w:t xml:space="preserve">V3 — CLV: Segmentos Enterprise presentan un CLV 4.8x superior a PYME. Correlación positiva (r=0.71) entre tiempo de onboarding y CLV.</w:t>
      </w:r>
    </w:p>
    <w:p>
      <w:pPr>
        <w:pStyle w:val="ListParagraph"/>
        <w:numPr>
          <w:ilvl w:val="0"/>
          <w:numId w:val="2"/>
        </w:numPr>
        <w:spacing w:after="60" w:before="60"/>
      </w:pPr>
      <w:r>
        <w:rPr>
          <w:rFonts w:ascii="Arial" w:cs="Arial" w:eastAsia="Arial" w:hAnsi="Arial"/>
          <w:color w:val="1A1A1A"/>
          <w:sz w:val="22"/>
          <w:szCs w:val="22"/>
        </w:rPr>
        <w:t xml:space="preserve">V4 — Retención: Alta concentración de churn en los meses 3-5 de vida del cliente. El uso activo del sistema en los primeros 30 días es el predictor más fuerte de retención a 12 meses.</w:t>
      </w:r>
    </w:p>
    <w:p>
      <w:pPr>
        <w:pStyle w:val="ListParagraph"/>
        <w:numPr>
          <w:ilvl w:val="0"/>
          <w:numId w:val="2"/>
        </w:numPr>
        <w:spacing w:after="60" w:before="60"/>
      </w:pPr>
      <w:r>
        <w:rPr>
          <w:rFonts w:ascii="Arial" w:cs="Arial" w:eastAsia="Arial" w:hAnsi="Arial"/>
          <w:color w:val="1A1A1A"/>
          <w:sz w:val="22"/>
          <w:szCs w:val="22"/>
        </w:rPr>
        <w:t xml:space="preserve">V5 — Margen: Reducción del margen operativo en períodos de alta contratación de personal. Correlación negativa con costos de infraestructura cloud.</w:t>
      </w:r>
    </w:p>
    <w:p>
      <w:pPr>
        <w:pBdr>
          <w:bottom w:val="single" w:color="8C1F28" w:sz="6" w:space="4"/>
        </w:pBdr>
        <w:spacing w:after="150" w:before="300"/>
      </w:pPr>
      <w:r>
        <w:rPr>
          <w:rFonts w:ascii="Arial" w:cs="Arial" w:eastAsia="Arial" w:hAnsi="Arial"/>
          <w:b/>
          <w:bCs/>
          <w:color w:val="8C1F28"/>
          <w:sz w:val="36"/>
          <w:szCs w:val="36"/>
        </w:rPr>
        <w:t xml:space="preserve">5. Modelos Predictivos Implementados</w:t>
      </w:r>
    </w:p>
    <w:p>
      <w:pPr>
        <w:spacing w:after="120" w:before="80"/>
        <w:jc w:val="both"/>
      </w:pPr>
      <w:r>
        <w:rPr>
          <w:rFonts w:ascii="Arial" w:cs="Arial" w:eastAsia="Arial" w:hAnsi="Arial"/>
          <w:b w:val="false"/>
          <w:bCs w:val="false"/>
          <w:i w:val="false"/>
          <w:iCs w:val="false"/>
          <w:color w:val="1A1A1A"/>
          <w:sz w:val="22"/>
          <w:szCs w:val="22"/>
        </w:rPr>
        <w:t xml:space="preserve">AxiaData implementa una suite de modelos predictivos entrenados sobre los datos históricos del datalake. Cada modelo está asociado a una o más variables de negocio estratégicas.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00"/>
        <w:gridCol w:w="2100"/>
        <w:gridCol w:w="1560"/>
      </w:tblGrid>
      <w:tr>
        <w:trPr>
          <w:tblHeader/>
        </w:trPr>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Variable Objetivo</w:t>
            </w:r>
          </w:p>
        </w:tc>
        <w:tc>
          <w:tcPr>
            <w:tcW w:type="dxa" w:w="21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Algoritmo</w:t>
            </w:r>
          </w:p>
        </w:tc>
        <w:tc>
          <w:tcPr>
            <w:tcW w:type="dxa" w:w="21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Métrica de Desempeño</w:t>
            </w:r>
          </w:p>
        </w:tc>
        <w:tc>
          <w:tcPr>
            <w:tcW w:type="dxa" w:w="15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Predictor de Conversión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V1 — Conversión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Random Forest Classifier</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AUC-ROC</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0.87</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Estimador de CAC</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V2 — CAC</w:t>
            </w:r>
          </w:p>
        </w:tc>
        <w:tc>
          <w:tcPr>
            <w:tcW w:type="dxa" w:w="21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Regresión Lineal Múltiple</w:t>
            </w:r>
          </w:p>
        </w:tc>
        <w:tc>
          <w:tcPr>
            <w:tcW w:type="dxa" w:w="21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R² / RMSE</w:t>
            </w:r>
          </w:p>
        </w:tc>
        <w:tc>
          <w:tcPr>
            <w:tcW w:type="dxa" w:w="1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R²=0.83</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Proyector de CLV</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V3 — CLV</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Gradient Boosting Regressor</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±$145 USD</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Predictor de Churn</w:t>
            </w:r>
          </w:p>
        </w:tc>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V4 — Retención</w:t>
            </w:r>
          </w:p>
        </w:tc>
        <w:tc>
          <w:tcPr>
            <w:tcW w:type="dxa" w:w="21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XGBoost Classifier</w:t>
            </w:r>
          </w:p>
        </w:tc>
        <w:tc>
          <w:tcPr>
            <w:tcW w:type="dxa" w:w="21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Precision/Recall</w:t>
            </w:r>
          </w:p>
        </w:tc>
        <w:tc>
          <w:tcPr>
            <w:tcW w:type="dxa" w:w="15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F1=0.84</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Forecaster de Margen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V5 — Margen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ARIMA + LSTM</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MAPE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4.2%</w:t>
            </w:r>
          </w:p>
        </w:tc>
      </w:tr>
    </w:tbl>
    <w:p>
      <w:pPr>
        <w:spacing w:after="80" w:before="80"/>
      </w:pPr>
      <w:r>
        <w:t xml:space="preserve"/>
      </w:r>
    </w:p>
    <w:p>
      <w:pPr>
        <w:spacing w:after="150" w:before="300"/>
      </w:pPr>
      <w:r>
        <w:rPr>
          <w:rFonts w:ascii="Arial" w:cs="Arial" w:eastAsia="Arial" w:hAnsi="Arial"/>
          <w:b/>
          <w:bCs/>
          <w:color w:val="D4820A"/>
          <w:sz w:val="28"/>
          <w:szCs w:val="28"/>
        </w:rPr>
        <w:t xml:space="preserve">5.1 Modelo Predictor de Churn (V4) — Detalle Técnico</w:t>
      </w:r>
    </w:p>
    <w:p>
      <w:pPr>
        <w:spacing w:after="120" w:before="80"/>
        <w:jc w:val="both"/>
      </w:pPr>
      <w:r>
        <w:rPr>
          <w:rFonts w:ascii="Arial" w:cs="Arial" w:eastAsia="Arial" w:hAnsi="Arial"/>
          <w:b w:val="false"/>
          <w:bCs w:val="false"/>
          <w:i w:val="false"/>
          <w:iCs w:val="false"/>
          <w:color w:val="1A1A1A"/>
          <w:sz w:val="22"/>
          <w:szCs w:val="22"/>
        </w:rPr>
        <w:t xml:space="preserve">El modelo de predicción de churn es el de mayor impacto estratégico en AxiaData. Fue desarrollado usando XGBoost con las siguientes características principales:</w:t>
      </w:r>
    </w:p>
    <w:p>
      <w:pPr>
        <w:pStyle w:val="ListParagraph"/>
        <w:numPr>
          <w:ilvl w:val="0"/>
          <w:numId w:val="2"/>
        </w:numPr>
        <w:spacing w:after="60" w:before="60"/>
      </w:pPr>
      <w:r>
        <w:rPr>
          <w:rFonts w:ascii="Arial" w:cs="Arial" w:eastAsia="Arial" w:hAnsi="Arial"/>
          <w:color w:val="1A1A1A"/>
          <w:sz w:val="22"/>
          <w:szCs w:val="22"/>
        </w:rPr>
        <w:t xml:space="preserve">Features de entrada: frecuencia de uso (últimos 30, 60, 90 días), número de tickets de soporte, NPS score, meses de antigüedad, tipo de plan contratado.</w:t>
      </w:r>
    </w:p>
    <w:p>
      <w:pPr>
        <w:pStyle w:val="ListParagraph"/>
        <w:numPr>
          <w:ilvl w:val="0"/>
          <w:numId w:val="2"/>
        </w:numPr>
        <w:spacing w:after="60" w:before="60"/>
      </w:pPr>
      <w:r>
        <w:rPr>
          <w:rFonts w:ascii="Arial" w:cs="Arial" w:eastAsia="Arial" w:hAnsi="Arial"/>
          <w:color w:val="1A1A1A"/>
          <w:sz w:val="22"/>
          <w:szCs w:val="22"/>
        </w:rPr>
        <w:t xml:space="preserve">Variable objetivo: 1 = abandono en los próximos 30 días, 0 = retención.</w:t>
      </w:r>
    </w:p>
    <w:p>
      <w:pPr>
        <w:pStyle w:val="ListParagraph"/>
        <w:numPr>
          <w:ilvl w:val="0"/>
          <w:numId w:val="2"/>
        </w:numPr>
        <w:spacing w:after="60" w:before="60"/>
      </w:pPr>
      <w:r>
        <w:rPr>
          <w:rFonts w:ascii="Arial" w:cs="Arial" w:eastAsia="Arial" w:hAnsi="Arial"/>
          <w:color w:val="1A1A1A"/>
          <w:sz w:val="22"/>
          <w:szCs w:val="22"/>
        </w:rPr>
        <w:t xml:space="preserve">Balanceo de clases: técnica SMOTE para corregir el desbalance natural (90% retención / 10% churn).</w:t>
      </w:r>
    </w:p>
    <w:p>
      <w:pPr>
        <w:pStyle w:val="ListParagraph"/>
        <w:numPr>
          <w:ilvl w:val="0"/>
          <w:numId w:val="2"/>
        </w:numPr>
        <w:spacing w:after="60" w:before="60"/>
      </w:pPr>
      <w:r>
        <w:rPr>
          <w:rFonts w:ascii="Arial" w:cs="Arial" w:eastAsia="Arial" w:hAnsi="Arial"/>
          <w:color w:val="1A1A1A"/>
          <w:sz w:val="22"/>
          <w:szCs w:val="22"/>
        </w:rPr>
        <w:t xml:space="preserve">Validación: k-fold cross-validation con k=10. AUC-ROC = 0.89 en conjunto de prueba.</w:t>
      </w:r>
    </w:p>
    <w:p>
      <w:pPr>
        <w:pStyle w:val="ListParagraph"/>
        <w:numPr>
          <w:ilvl w:val="0"/>
          <w:numId w:val="2"/>
        </w:numPr>
        <w:spacing w:after="60" w:before="60"/>
      </w:pPr>
      <w:r>
        <w:rPr>
          <w:rFonts w:ascii="Arial" w:cs="Arial" w:eastAsia="Arial" w:hAnsi="Arial"/>
          <w:color w:val="1A1A1A"/>
          <w:sz w:val="22"/>
          <w:szCs w:val="22"/>
        </w:rPr>
        <w:t xml:space="preserve">Implementación: el modelo se ejecuta semanalmente sobre todos los clientes activos, generando alertas automáticas en el dashboard ejecutivo.</w:t>
      </w:r>
    </w:p>
    <w:p>
      <w:pPr>
        <w:pBdr>
          <w:bottom w:val="single" w:color="8C1F28" w:sz="6" w:space="4"/>
        </w:pBdr>
        <w:spacing w:after="150" w:before="300"/>
      </w:pPr>
      <w:r>
        <w:rPr>
          <w:rFonts w:ascii="Arial" w:cs="Arial" w:eastAsia="Arial" w:hAnsi="Arial"/>
          <w:b/>
          <w:bCs/>
          <w:color w:val="8C1F28"/>
          <w:sz w:val="36"/>
          <w:szCs w:val="36"/>
        </w:rPr>
        <w:t xml:space="preserve">6. Segmentación de Datos</w:t>
      </w:r>
    </w:p>
    <w:p>
      <w:pPr>
        <w:spacing w:after="120" w:before="80"/>
        <w:jc w:val="both"/>
      </w:pPr>
      <w:r>
        <w:rPr>
          <w:rFonts w:ascii="Arial" w:cs="Arial" w:eastAsia="Arial" w:hAnsi="Arial"/>
          <w:b w:val="false"/>
          <w:bCs w:val="false"/>
          <w:i w:val="false"/>
          <w:iCs w:val="false"/>
          <w:color w:val="1A1A1A"/>
          <w:sz w:val="22"/>
          <w:szCs w:val="22"/>
        </w:rPr>
        <w:t xml:space="preserve">La segmentación en AxiaData utiliza el algoritmo K-Means sobre las cinco variables de negocio normalizadas, con el objetivo de clasificar clientes en grupos homogéneos para facilitar la toma de decisiones diferenciadas.</w:t>
      </w:r>
    </w:p>
    <w:p>
      <w:pPr>
        <w:spacing w:after="150" w:before="300"/>
      </w:pPr>
      <w:r>
        <w:rPr>
          <w:rFonts w:ascii="Arial" w:cs="Arial" w:eastAsia="Arial" w:hAnsi="Arial"/>
          <w:b/>
          <w:bCs/>
          <w:color w:val="D4820A"/>
          <w:sz w:val="28"/>
          <w:szCs w:val="28"/>
        </w:rPr>
        <w:t xml:space="preserve">6.1 Segmentos Identificados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900"/>
        <w:gridCol w:w="1080"/>
        <w:gridCol w:w="1080"/>
        <w:gridCol w:w="2700"/>
      </w:tblGrid>
      <w:tr>
        <w:trPr>
          <w:tblHeader/>
        </w:trPr>
        <w:tc>
          <w:tcPr>
            <w:tcW w:type="dxa" w:w="1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Segmento</w:t>
            </w:r>
          </w:p>
        </w:tc>
        <w:tc>
          <w:tcPr>
            <w:tcW w:type="dxa" w:w="24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9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 Cartera</w:t>
            </w:r>
          </w:p>
        </w:tc>
        <w:tc>
          <w:tcPr>
            <w:tcW w:type="dxa" w:w="108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Conversión</w:t>
            </w:r>
          </w:p>
        </w:tc>
        <w:tc>
          <w:tcPr>
            <w:tcW w:type="dxa" w:w="108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Retención</w:t>
            </w:r>
          </w:p>
        </w:tc>
        <w:tc>
          <w:tcPr>
            <w:tcW w:type="dxa" w:w="27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Estrategia Recomendada</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Champion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Alta conversión, alto CLV, alta retención.</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15%</w:t>
            </w:r>
          </w:p>
        </w:tc>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68%</w:t>
            </w:r>
          </w:p>
        </w:tc>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94%</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Programa VIP, upselling, embajadores.</w:t>
            </w:r>
          </w:p>
        </w:tc>
      </w:tr>
      <w:tr>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Loyal</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CLV medio-alto, retención sostenida.</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28%</w:t>
            </w:r>
          </w:p>
        </w:tc>
        <w:tc>
          <w:tcPr>
            <w:tcW w:type="dxa" w:w="10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45%</w:t>
            </w:r>
          </w:p>
        </w:tc>
        <w:tc>
          <w:tcPr>
            <w:tcW w:type="dxa" w:w="10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87%</w:t>
            </w:r>
          </w:p>
        </w:tc>
        <w:tc>
          <w:tcPr>
            <w:tcW w:type="dxa" w:w="27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Cross-selling, beneficios de lealtad.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Potential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Alta conversión pero CLV bajo aún.</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22%</w:t>
            </w:r>
          </w:p>
        </w:tc>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52%</w:t>
            </w:r>
          </w:p>
        </w:tc>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72%</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Nurturing, educación de producto.</w:t>
            </w:r>
          </w:p>
        </w:tc>
      </w:tr>
      <w:tr>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At Risk</w:t>
            </w:r>
          </w:p>
        </w:tc>
        <w:tc>
          <w:tcPr>
            <w:tcW w:type="dxa" w:w="24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Retención bajando, uso decreciente.</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20%</w:t>
            </w:r>
          </w:p>
        </w:tc>
        <w:tc>
          <w:tcPr>
            <w:tcW w:type="dxa" w:w="10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28%</w:t>
            </w:r>
          </w:p>
        </w:tc>
        <w:tc>
          <w:tcPr>
            <w:tcW w:type="dxa" w:w="10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45%</w:t>
            </w:r>
          </w:p>
        </w:tc>
        <w:tc>
          <w:tcPr>
            <w:tcW w:type="dxa" w:w="27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Alertas proactivas, descuentos retención.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Churned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Probabilidad de abandono &gt;70%.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15%</w:t>
            </w:r>
          </w:p>
        </w:tc>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18%</w:t>
            </w:r>
          </w:p>
        </w:tc>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22%</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Plan de recuperación, win-back campaigns.</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7. Optimización de la Calidad de Datos — Proceso ETL</w:t>
      </w:r>
    </w:p>
    <w:p>
      <w:pPr>
        <w:spacing w:after="120" w:before="80"/>
        <w:jc w:val="both"/>
      </w:pPr>
      <w:r>
        <w:rPr>
          <w:rFonts w:ascii="Arial" w:cs="Arial" w:eastAsia="Arial" w:hAnsi="Arial"/>
          <w:b w:val="false"/>
          <w:bCs w:val="false"/>
          <w:i w:val="false"/>
          <w:iCs w:val="false"/>
          <w:color w:val="1A1A1A"/>
          <w:sz w:val="22"/>
          <w:szCs w:val="22"/>
        </w:rPr>
        <w:t xml:space="preserve">El pipeline ETL de AxiaData garantiza que los datos que alimentan los modelos de minería tengan la máxima calidad posible. El proceso sigue una arquitectura medallion (Bronze → Silver → Gold).</w:t>
      </w:r>
    </w:p>
    <w:p>
      <w:pPr>
        <w:spacing w:after="150" w:before="300"/>
      </w:pPr>
      <w:r>
        <w:rPr>
          <w:rFonts w:ascii="Arial" w:cs="Arial" w:eastAsia="Arial" w:hAnsi="Arial"/>
          <w:b/>
          <w:bCs/>
          <w:color w:val="D4820A"/>
          <w:sz w:val="28"/>
          <w:szCs w:val="28"/>
        </w:rPr>
        <w:t xml:space="preserve">7.1 Arquitectura Medallion del Datalake</w:t>
      </w:r>
    </w:p>
    <w:p>
      <w:pPr>
        <w:pStyle w:val="ListParagraph"/>
        <w:numPr>
          <w:ilvl w:val="0"/>
          <w:numId w:val="2"/>
        </w:numPr>
        <w:spacing w:after="60" w:before="60"/>
      </w:pPr>
      <w:r>
        <w:rPr>
          <w:rFonts w:ascii="Arial" w:cs="Arial" w:eastAsia="Arial" w:hAnsi="Arial"/>
          <w:color w:val="1A1A1A"/>
          <w:sz w:val="22"/>
          <w:szCs w:val="22"/>
        </w:rPr>
        <w:t xml:space="preserve">Bronze Layer (Raw): datos crudos ingeridos desde fuentes heterogéneas (APIs, bases de datos transaccionales, archivos CSV, eventos en tiempo real). Sin transformación. Retención de datos: 5 años.</w:t>
      </w:r>
    </w:p>
    <w:p>
      <w:pPr>
        <w:pStyle w:val="ListParagraph"/>
        <w:numPr>
          <w:ilvl w:val="0"/>
          <w:numId w:val="2"/>
        </w:numPr>
        <w:spacing w:after="60" w:before="60"/>
      </w:pPr>
      <w:r>
        <w:rPr>
          <w:rFonts w:ascii="Arial" w:cs="Arial" w:eastAsia="Arial" w:hAnsi="Arial"/>
          <w:color w:val="1A1A1A"/>
          <w:sz w:val="22"/>
          <w:szCs w:val="22"/>
        </w:rPr>
        <w:t xml:space="preserve">Silver Layer (Cleaned): datos limpiados, estandarizados y con esquemas validados. Eliminación de duplicados, corrección de tipos de datos, imputación de valores nulos mediante media/mediana/moda según la variable.</w:t>
      </w:r>
    </w:p>
    <w:p>
      <w:pPr>
        <w:pStyle w:val="ListParagraph"/>
        <w:numPr>
          <w:ilvl w:val="0"/>
          <w:numId w:val="2"/>
        </w:numPr>
        <w:spacing w:after="60" w:before="60"/>
      </w:pPr>
      <w:r>
        <w:rPr>
          <w:rFonts w:ascii="Arial" w:cs="Arial" w:eastAsia="Arial" w:hAnsi="Arial"/>
          <w:color w:val="1A1A1A"/>
          <w:sz w:val="22"/>
          <w:szCs w:val="22"/>
        </w:rPr>
        <w:t xml:space="preserve">Gold Layer (Curated): datos agregados, enriquecidos y listos para análisis. Tablas de hechos y dimensiones para el data warehouse. Modelos de minería son entrenados exclusivamente sobre esta capa.</w:t>
      </w:r>
    </w:p>
    <w:p>
      <w:pPr>
        <w:spacing w:after="150" w:before="300"/>
      </w:pPr>
      <w:r>
        <w:rPr>
          <w:rFonts w:ascii="Arial" w:cs="Arial" w:eastAsia="Arial" w:hAnsi="Arial"/>
          <w:b/>
          <w:bCs/>
          <w:color w:val="D4820A"/>
          <w:sz w:val="28"/>
          <w:szCs w:val="28"/>
        </w:rPr>
        <w:t xml:space="preserve">7.2 Métricas de Calidad del Dato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80"/>
        <w:gridCol w:w="2680"/>
      </w:tblGrid>
      <w:tr>
        <w:trPr>
          <w:tblHeader/>
        </w:trPr>
        <w:tc>
          <w:tcPr>
            <w:tcW w:type="dxa" w:w="2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Dimensión de Calidad</w:t>
            </w:r>
          </w:p>
        </w:tc>
        <w:tc>
          <w:tcPr>
            <w:tcW w:type="dxa" w:w="2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68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Umbral Mínimo</w:t>
            </w:r>
          </w:p>
        </w:tc>
        <w:tc>
          <w:tcPr>
            <w:tcW w:type="dxa" w:w="268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Estado Actual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Completitud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de campos sin valores nulos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95%</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97.3%  ✓</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Unicidad</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Ausencia de registros duplicados</w:t>
            </w:r>
          </w:p>
        </w:tc>
        <w:tc>
          <w:tcPr>
            <w:tcW w:type="dxa" w:w="16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99%</w:t>
            </w:r>
          </w:p>
        </w:tc>
        <w:tc>
          <w:tcPr>
            <w:tcW w:type="dxa" w:w="26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99.6%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Consistencia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Uniformidad de formatos y reglas</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98%</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98.7%  ✓</w:t>
            </w:r>
          </w:p>
        </w:tc>
      </w:tr>
      <w:tr>
        <w:tc>
          <w:tcPr>
            <w:tcW w:type="dxa" w:w="2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Exactitud</w:t>
            </w:r>
          </w:p>
        </w:tc>
        <w:tc>
          <w:tcPr>
            <w:tcW w:type="dxa" w:w="2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Correspondencia con fuente de verdad</w:t>
            </w:r>
          </w:p>
        </w:tc>
        <w:tc>
          <w:tcPr>
            <w:tcW w:type="dxa" w:w="16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 96%</w:t>
            </w:r>
          </w:p>
        </w:tc>
        <w:tc>
          <w:tcPr>
            <w:tcW w:type="dxa" w:w="268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96.8%  ✓</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Oportunidad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Actualización dentro del SLA definido</w:t>
            </w:r>
          </w:p>
        </w:tc>
        <w:tc>
          <w:tcPr>
            <w:tcW w:type="dxa" w:w="1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4 horas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2.1 hrs  ✓</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8. Reglas de Asociación</w:t>
      </w:r>
    </w:p>
    <w:p>
      <w:pPr>
        <w:spacing w:after="120" w:before="80"/>
        <w:jc w:val="both"/>
      </w:pPr>
      <w:r>
        <w:rPr>
          <w:rFonts w:ascii="Arial" w:cs="Arial" w:eastAsia="Arial" w:hAnsi="Arial"/>
          <w:b w:val="false"/>
          <w:bCs w:val="false"/>
          <w:i w:val="false"/>
          <w:iCs w:val="false"/>
          <w:color w:val="1A1A1A"/>
          <w:sz w:val="22"/>
          <w:szCs w:val="22"/>
        </w:rPr>
        <w:t xml:space="preserve">El algoritmo Apriori fue aplicado sobre los eventos del sistema AxiaData para identificar relaciones significativas entre las variables de negocio y comportamientos de los usuarios.</w:t>
      </w:r>
    </w:p>
    <w:p>
      <w:pPr>
        <w:spacing w:after="150" w:before="300"/>
      </w:pPr>
      <w:r>
        <w:rPr>
          <w:rFonts w:ascii="Arial" w:cs="Arial" w:eastAsia="Arial" w:hAnsi="Arial"/>
          <w:b/>
          <w:bCs/>
          <w:color w:val="D4820A"/>
          <w:sz w:val="28"/>
          <w:szCs w:val="28"/>
        </w:rPr>
        <w:t xml:space="preserve">8.1 Parámetros del Algoritmo Apriori</w:t>
      </w:r>
    </w:p>
    <w:p>
      <w:pPr>
        <w:pStyle w:val="ListParagraph"/>
        <w:numPr>
          <w:ilvl w:val="0"/>
          <w:numId w:val="2"/>
        </w:numPr>
        <w:spacing w:after="60" w:before="60"/>
      </w:pPr>
      <w:r>
        <w:rPr>
          <w:rFonts w:ascii="Arial" w:cs="Arial" w:eastAsia="Arial" w:hAnsi="Arial"/>
          <w:color w:val="1A1A1A"/>
          <w:sz w:val="22"/>
          <w:szCs w:val="22"/>
        </w:rPr>
        <w:t xml:space="preserve">Soporte mínimo (min_support): 0.05 — el itemset debe aparecer en al menos el 5% de las transacciones.</w:t>
      </w:r>
    </w:p>
    <w:p>
      <w:pPr>
        <w:pStyle w:val="ListParagraph"/>
        <w:numPr>
          <w:ilvl w:val="0"/>
          <w:numId w:val="2"/>
        </w:numPr>
        <w:spacing w:after="60" w:before="60"/>
      </w:pPr>
      <w:r>
        <w:rPr>
          <w:rFonts w:ascii="Arial" w:cs="Arial" w:eastAsia="Arial" w:hAnsi="Arial"/>
          <w:color w:val="1A1A1A"/>
          <w:sz w:val="22"/>
          <w:szCs w:val="22"/>
        </w:rPr>
        <w:t xml:space="preserve">Confianza mínima (min_confidence): 0.60 — si ocurre el antecedente, la consecuencia ocurre al menos en el 60% de los casos.</w:t>
      </w:r>
    </w:p>
    <w:p>
      <w:pPr>
        <w:pStyle w:val="ListParagraph"/>
        <w:numPr>
          <w:ilvl w:val="0"/>
          <w:numId w:val="2"/>
        </w:numPr>
        <w:spacing w:after="60" w:before="60"/>
      </w:pPr>
      <w:r>
        <w:rPr>
          <w:rFonts w:ascii="Arial" w:cs="Arial" w:eastAsia="Arial" w:hAnsi="Arial"/>
          <w:color w:val="1A1A1A"/>
          <w:sz w:val="22"/>
          <w:szCs w:val="22"/>
        </w:rPr>
        <w:t xml:space="preserve">Lift mínimo: 1.5 — la regla debe ser al menos 1.5x más probable que por azar.</w:t>
      </w:r>
    </w:p>
    <w:p>
      <w:pPr>
        <w:spacing w:after="150" w:before="300"/>
      </w:pPr>
      <w:r>
        <w:rPr>
          <w:rFonts w:ascii="Arial" w:cs="Arial" w:eastAsia="Arial" w:hAnsi="Arial"/>
          <w:b/>
          <w:bCs/>
          <w:color w:val="D4820A"/>
          <w:sz w:val="28"/>
          <w:szCs w:val="28"/>
        </w:rPr>
        <w:t xml:space="preserve">8.2 Reglas de Asociación Más Relevantes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900"/>
        <w:gridCol w:w="1000"/>
        <w:gridCol w:w="700"/>
        <w:gridCol w:w="3460"/>
      </w:tblGrid>
      <w:tr>
        <w:trPr>
          <w:tblHeader/>
        </w:trPr>
        <w:tc>
          <w:tcPr>
            <w:tcW w:type="dxa" w:w="18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Antecedente</w:t>
            </w:r>
          </w:p>
        </w:tc>
        <w:tc>
          <w:tcPr>
            <w:tcW w:type="dxa" w:w="15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Consecuente</w:t>
            </w:r>
          </w:p>
        </w:tc>
        <w:tc>
          <w:tcPr>
            <w:tcW w:type="dxa" w:w="9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Soporte</w:t>
            </w:r>
          </w:p>
        </w:tc>
        <w:tc>
          <w:tcPr>
            <w:tcW w:type="dxa" w:w="1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Confianza</w:t>
            </w:r>
          </w:p>
        </w:tc>
        <w:tc>
          <w:tcPr>
            <w:tcW w:type="dxa" w:w="7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Lift</w:t>
            </w:r>
          </w:p>
        </w:tc>
        <w:tc>
          <w:tcPr>
            <w:tcW w:type="dxa" w:w="34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Interpretación de Negocio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{Uso_Alto_30días}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{Retención_12m}</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0.18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0.82</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2.4</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Clientes con uso intensivo en el primer mes tienen 2.4x más probabilidad de quedarse 12 meses.</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{CAC_Alto, Segmento_SME}</w:t>
            </w:r>
          </w:p>
        </w:tc>
        <w:tc>
          <w:tcPr>
            <w:tcW w:type="dxa" w:w="1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{Churn_3m}</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0.09</w:t>
            </w:r>
          </w:p>
        </w:tc>
        <w:tc>
          <w:tcPr>
            <w:tcW w:type="dxa" w:w="1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0.71</w:t>
            </w:r>
          </w:p>
        </w:tc>
        <w:tc>
          <w:tcPr>
            <w:tcW w:type="dxa" w:w="7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2.1</w:t>
            </w:r>
          </w:p>
        </w:tc>
        <w:tc>
          <w:tcPr>
            <w:tcW w:type="dxa" w:w="34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Clientes SME con alto costo de adquisición muestran churn elevado en 3 meses.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{CLV_Alto}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{Upsell_Aceptado}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0.12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0.68</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1.9</w:t>
            </w:r>
          </w:p>
        </w:tc>
        <w:tc>
          <w:tcPr>
            <w:tcW w:type="dxa" w:w="3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Clientes con alto CLV aceptan propuestas de upselling el 68% de las veces.</w:t>
            </w:r>
          </w:p>
        </w:tc>
      </w:tr>
      <w:tr>
        <w:tc>
          <w:tcPr>
            <w:tcW w:type="dxa" w:w="18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{NPS&lt;7, Ticket_Soporte&gt;3}</w:t>
            </w:r>
          </w:p>
        </w:tc>
        <w:tc>
          <w:tcPr>
            <w:tcW w:type="dxa" w:w="1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{Churn_30días}</w:t>
            </w:r>
          </w:p>
        </w:tc>
        <w:tc>
          <w:tcPr>
            <w:tcW w:type="dxa" w:w="9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0.07</w:t>
            </w:r>
          </w:p>
        </w:tc>
        <w:tc>
          <w:tcPr>
            <w:tcW w:type="dxa" w:w="1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0.76</w:t>
            </w:r>
          </w:p>
        </w:tc>
        <w:tc>
          <w:tcPr>
            <w:tcW w:type="dxa" w:w="7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3.1</w:t>
            </w:r>
          </w:p>
        </w:tc>
        <w:tc>
          <w:tcPr>
            <w:tcW w:type="dxa" w:w="34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Clientes detractores con múltiples tickets tienen probabilidad de abandono 3.1x la base.</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9. Herramientas y Tecnologías Utilizadas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4660"/>
      </w:tblGrid>
      <w:tr>
        <w:trPr>
          <w:tblHeader/>
        </w:trPr>
        <w:tc>
          <w:tcPr>
            <w:tcW w:type="dxa" w:w="15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20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Herramienta / Librería</w:t>
            </w:r>
          </w:p>
        </w:tc>
        <w:tc>
          <w:tcPr>
            <w:tcW w:type="dxa" w:w="120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4660"/>
            <w:tcBorders>
              <w:top w:val="single" w:color="8C1F28" w:sz="1"/>
              <w:left w:val="single" w:color="8C1F28" w:sz="1"/>
              <w:bottom w:val="single" w:color="8C1F28" w:sz="1"/>
              <w:right w:val="single" w:color="8C1F28" w:sz="1"/>
            </w:tcBorders>
            <w:shd w:fill="8C1F28" w:val="clear"/>
            <w:tcMar>
              <w:top w:type="dxa" w:w="80"/>
              <w:left w:type="dxa" w:w="120"/>
              <w:bottom w:type="dxa" w:w="80"/>
              <w:right w:type="dxa" w:w="120"/>
            </w:tcMar>
          </w:tcPr>
          <w:p>
            <w:r>
              <w:rPr>
                <w:rFonts w:ascii="Arial" w:cs="Arial" w:eastAsia="Arial" w:hAnsi="Arial"/>
                <w:b/>
                <w:bCs/>
                <w:color w:val="FFFFFF"/>
                <w:sz w:val="20"/>
                <w:szCs w:val="20"/>
              </w:rPr>
              <w:t xml:space="preserve">Uso Principal</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Lenguaje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Python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3.11</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Scripts ETL, modelos ML, análisis estadístico</w:t>
            </w:r>
          </w:p>
        </w:tc>
      </w:tr>
      <w:tr>
        <w:tc>
          <w:tcPr>
            <w:tcW w:type="dxa" w:w="1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Machine Learning</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Scikit-learn</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1.4</w:t>
            </w:r>
          </w:p>
        </w:tc>
        <w:tc>
          <w:tcPr>
            <w:tcW w:type="dxa" w:w="46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Random Forest, K-Means, PCA, métricas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Gradient Boosting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XGBoost / LightGBM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2.0 / 4.3</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Modelos de churn y CLV</w:t>
            </w:r>
          </w:p>
        </w:tc>
      </w:tr>
      <w:tr>
        <w:tc>
          <w:tcPr>
            <w:tcW w:type="dxa" w:w="1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Series de Tiempo</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Statsmodels / Keras</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0.14 / 3.3</w:t>
            </w:r>
          </w:p>
        </w:tc>
        <w:tc>
          <w:tcPr>
            <w:tcW w:type="dxa" w:w="46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ARIMA, LSTM para forecasting</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Reglas Asociación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mlxtend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0.23</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Algoritmo Apriori</w:t>
            </w:r>
          </w:p>
        </w:tc>
      </w:tr>
      <w:tr>
        <w:tc>
          <w:tcPr>
            <w:tcW w:type="dxa" w:w="1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Procesamiento</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Pandas / NumPy</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2.2 / 1.26</w:t>
            </w:r>
          </w:p>
        </w:tc>
        <w:tc>
          <w:tcPr>
            <w:tcW w:type="dxa" w:w="46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Manipulación de datos</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Visualización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Matplotlib / Seaborn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3.8 / 0.13</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Gráficos exploratorios</w:t>
            </w:r>
          </w:p>
        </w:tc>
      </w:tr>
      <w:tr>
        <w:tc>
          <w:tcPr>
            <w:tcW w:type="dxa" w:w="1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Base de Datos</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SQL Server / PostgreSQL</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2022 / 16</w:t>
            </w:r>
          </w:p>
        </w:tc>
        <w:tc>
          <w:tcPr>
            <w:tcW w:type="dxa" w:w="46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Datalake y Data Warehouse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Orquestación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Apache Airflow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2.9</w:t>
            </w:r>
          </w:p>
        </w:tc>
        <w:tc>
          <w:tcPr>
            <w:tcW w:type="dxa" w:w="4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Automatización de pipelines ETL</w:t>
            </w:r>
          </w:p>
        </w:tc>
      </w:tr>
      <w:tr>
        <w:tc>
          <w:tcPr>
            <w:tcW w:type="dxa" w:w="15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Experimentación</w:t>
            </w:r>
          </w:p>
        </w:tc>
        <w:tc>
          <w:tcPr>
            <w:tcW w:type="dxa" w:w="20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MLflow</w:t>
            </w:r>
          </w:p>
        </w:tc>
        <w:tc>
          <w:tcPr>
            <w:tcW w:type="dxa" w:w="120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2.11</w:t>
            </w:r>
          </w:p>
        </w:tc>
        <w:tc>
          <w:tcPr>
            <w:tcW w:type="dxa" w:w="4660"/>
            <w:tcBorders>
              <w:top w:val="single" w:color="CCCCCC" w:sz="1"/>
              <w:left w:val="single" w:color="CCCCCC" w:sz="1"/>
              <w:bottom w:val="single" w:color="CCCCCC" w:sz="1"/>
              <w:right w:val="single" w:color="CCCCCC" w:sz="1"/>
            </w:tcBorders>
            <w:shd w:fill="F4F4F4" w:val="clear"/>
            <w:tcMar>
              <w:top w:type="dxa" w:w="70"/>
              <w:left w:type="dxa" w:w="120"/>
              <w:bottom w:type="dxa" w:w="70"/>
              <w:right w:type="dxa" w:w="120"/>
            </w:tcMar>
          </w:tcPr>
          <w:p>
            <w:r>
              <w:rPr>
                <w:rFonts w:ascii="Arial" w:cs="Arial" w:eastAsia="Arial" w:hAnsi="Arial"/>
                <w:color w:val="1A1A1A"/>
                <w:sz w:val="20"/>
                <w:szCs w:val="20"/>
              </w:rPr>
              <w:t xml:space="preserve">Registro y versioning de modelos</w:t>
            </w:r>
          </w:p>
        </w:tc>
      </w:tr>
    </w:tbl>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10. Resultados y Visualizaciones</w:t>
      </w:r>
    </w:p>
    <w:p>
      <w:pPr>
        <w:spacing w:after="120" w:before="80"/>
        <w:jc w:val="both"/>
      </w:pPr>
      <w:r>
        <w:rPr>
          <w:rFonts w:ascii="Arial" w:cs="Arial" w:eastAsia="Arial" w:hAnsi="Arial"/>
          <w:b w:val="false"/>
          <w:bCs w:val="false"/>
          <w:i w:val="false"/>
          <w:iCs w:val="false"/>
          <w:color w:val="1A1A1A"/>
          <w:sz w:val="22"/>
          <w:szCs w:val="22"/>
        </w:rPr>
        <w:t xml:space="preserve">Los modelos de minería de datos implementados en AxiaData han generado los siguientes resultados cuantificables durante el período de validación (enero–abril 2025):</w:t>
      </w:r>
    </w:p>
    <w:p>
      <w:pPr>
        <w:pStyle w:val="ListParagraph"/>
        <w:numPr>
          <w:ilvl w:val="0"/>
          <w:numId w:val="2"/>
        </w:numPr>
        <w:spacing w:after="60" w:before="60"/>
      </w:pPr>
      <w:r>
        <w:rPr>
          <w:rFonts w:ascii="Arial" w:cs="Arial" w:eastAsia="Arial" w:hAnsi="Arial"/>
          <w:color w:val="1A1A1A"/>
          <w:sz w:val="22"/>
          <w:szCs w:val="22"/>
        </w:rPr>
        <w:t xml:space="preserve">El predictor de churn alertó correctamente sobre el 84% de los abandonos anticipados, permitiendo intervenciones proactivas.</w:t>
      </w:r>
    </w:p>
    <w:p>
      <w:pPr>
        <w:pStyle w:val="ListParagraph"/>
        <w:numPr>
          <w:ilvl w:val="0"/>
          <w:numId w:val="2"/>
        </w:numPr>
        <w:spacing w:after="60" w:before="60"/>
      </w:pPr>
      <w:r>
        <w:rPr>
          <w:rFonts w:ascii="Arial" w:cs="Arial" w:eastAsia="Arial" w:hAnsi="Arial"/>
          <w:color w:val="1A1A1A"/>
          <w:sz w:val="22"/>
          <w:szCs w:val="22"/>
        </w:rPr>
        <w:t xml:space="preserve">La segmentación K-Means identificó 5 grupos diferenciados con silhouette score de 0.68, indicando alta cohesión interna.</w:t>
      </w:r>
    </w:p>
    <w:p>
      <w:pPr>
        <w:pStyle w:val="ListParagraph"/>
        <w:numPr>
          <w:ilvl w:val="0"/>
          <w:numId w:val="2"/>
        </w:numPr>
        <w:spacing w:after="60" w:before="60"/>
      </w:pPr>
      <w:r>
        <w:rPr>
          <w:rFonts w:ascii="Arial" w:cs="Arial" w:eastAsia="Arial" w:hAnsi="Arial"/>
          <w:color w:val="1A1A1A"/>
          <w:sz w:val="22"/>
          <w:szCs w:val="22"/>
        </w:rPr>
        <w:t xml:space="preserve">Las reglas de asociación generaron 12 reglas accionables con lift &gt; 1.5, directamente utilizadas por el equipo comercial.</w:t>
      </w:r>
    </w:p>
    <w:p>
      <w:pPr>
        <w:pStyle w:val="ListParagraph"/>
        <w:numPr>
          <w:ilvl w:val="0"/>
          <w:numId w:val="2"/>
        </w:numPr>
        <w:spacing w:after="60" w:before="60"/>
      </w:pPr>
      <w:r>
        <w:rPr>
          <w:rFonts w:ascii="Arial" w:cs="Arial" w:eastAsia="Arial" w:hAnsi="Arial"/>
          <w:color w:val="1A1A1A"/>
          <w:sz w:val="22"/>
          <w:szCs w:val="22"/>
        </w:rPr>
        <w:t xml:space="preserve">El proceso ETL redujo el tiempo de preparación de datos de 8 horas a 2.1 horas (reducción del 74%).</w:t>
      </w:r>
    </w:p>
    <w:p>
      <w:pPr>
        <w:pStyle w:val="ListParagraph"/>
        <w:numPr>
          <w:ilvl w:val="0"/>
          <w:numId w:val="2"/>
        </w:numPr>
        <w:spacing w:after="60" w:before="60"/>
      </w:pPr>
      <w:r>
        <w:rPr>
          <w:rFonts w:ascii="Arial" w:cs="Arial" w:eastAsia="Arial" w:hAnsi="Arial"/>
          <w:color w:val="1A1A1A"/>
          <w:sz w:val="22"/>
          <w:szCs w:val="22"/>
        </w:rPr>
        <w:t xml:space="preserve">La calidad general de datos mejoró del 89.2% al 97.3% con la implementación de la arquitectura medallion.</w:t>
      </w:r>
    </w:p>
    <w:p>
      <w:pPr>
        <w:spacing w:after="150" w:before="300"/>
      </w:pPr>
      <w:r>
        <w:rPr>
          <w:rFonts w:ascii="Arial" w:cs="Arial" w:eastAsia="Arial" w:hAnsi="Arial"/>
          <w:b/>
          <w:bCs/>
          <w:color w:val="D4820A"/>
          <w:sz w:val="28"/>
          <w:szCs w:val="28"/>
        </w:rPr>
        <w:t xml:space="preserve">10.1 Gráficos y Visualizaciones Clave</w:t>
      </w:r>
    </w:p>
    <w:p>
      <w:pPr>
        <w:spacing w:after="120" w:before="80"/>
        <w:jc w:val="both"/>
      </w:pPr>
      <w:r>
        <w:rPr>
          <w:rFonts w:ascii="Arial" w:cs="Arial" w:eastAsia="Arial" w:hAnsi="Arial"/>
          <w:b w:val="false"/>
          <w:bCs w:val="false"/>
          <w:i w:val="false"/>
          <w:iCs w:val="false"/>
          <w:color w:val="1A1A1A"/>
          <w:sz w:val="22"/>
          <w:szCs w:val="22"/>
        </w:rPr>
        <w:t xml:space="preserve">Las siguientes visualizaciones son generadas automáticamente por el pipeline de AxiaData y están disponibles en el dashboard ejecutivo:</w:t>
      </w:r>
    </w:p>
    <w:p>
      <w:pPr>
        <w:pStyle w:val="ListParagraph"/>
        <w:numPr>
          <w:ilvl w:val="0"/>
          <w:numId w:val="2"/>
        </w:numPr>
        <w:spacing w:after="60" w:before="60"/>
      </w:pPr>
      <w:r>
        <w:rPr>
          <w:rFonts w:ascii="Arial" w:cs="Arial" w:eastAsia="Arial" w:hAnsi="Arial"/>
          <w:color w:val="1A1A1A"/>
          <w:sz w:val="22"/>
          <w:szCs w:val="22"/>
        </w:rPr>
        <w:t xml:space="preserve">Heatmap de correlación entre las 5 variables de negocio (V1–V5).</w:t>
      </w:r>
    </w:p>
    <w:p>
      <w:pPr>
        <w:pStyle w:val="ListParagraph"/>
        <w:numPr>
          <w:ilvl w:val="0"/>
          <w:numId w:val="2"/>
        </w:numPr>
        <w:spacing w:after="60" w:before="60"/>
      </w:pPr>
      <w:r>
        <w:rPr>
          <w:rFonts w:ascii="Arial" w:cs="Arial" w:eastAsia="Arial" w:hAnsi="Arial"/>
          <w:color w:val="1A1A1A"/>
          <w:sz w:val="22"/>
          <w:szCs w:val="22"/>
        </w:rPr>
        <w:t xml:space="preserve">Curvas ROC de los modelos clasificadores (Conversión y Churn) con AUC ≥ 0.87.</w:t>
      </w:r>
    </w:p>
    <w:p>
      <w:pPr>
        <w:pStyle w:val="ListParagraph"/>
        <w:numPr>
          <w:ilvl w:val="0"/>
          <w:numId w:val="2"/>
        </w:numPr>
        <w:spacing w:after="60" w:before="60"/>
      </w:pPr>
      <w:r>
        <w:rPr>
          <w:rFonts w:ascii="Arial" w:cs="Arial" w:eastAsia="Arial" w:hAnsi="Arial"/>
          <w:color w:val="1A1A1A"/>
          <w:sz w:val="22"/>
          <w:szCs w:val="22"/>
        </w:rPr>
        <w:t xml:space="preserve">Gráfico de barras de importancia de features para el modelo Random Forest (V1).</w:t>
      </w:r>
    </w:p>
    <w:p>
      <w:pPr>
        <w:pStyle w:val="ListParagraph"/>
        <w:numPr>
          <w:ilvl w:val="0"/>
          <w:numId w:val="2"/>
        </w:numPr>
        <w:spacing w:after="60" w:before="60"/>
      </w:pPr>
      <w:r>
        <w:rPr>
          <w:rFonts w:ascii="Arial" w:cs="Arial" w:eastAsia="Arial" w:hAnsi="Arial"/>
          <w:color w:val="1A1A1A"/>
          <w:sz w:val="22"/>
          <w:szCs w:val="22"/>
        </w:rPr>
        <w:t xml:space="preserve">Scatter plot de segmentación K-Means en 2D (reducción PCA) con centroides marcados.</w:t>
      </w:r>
    </w:p>
    <w:p>
      <w:pPr>
        <w:pStyle w:val="ListParagraph"/>
        <w:numPr>
          <w:ilvl w:val="0"/>
          <w:numId w:val="2"/>
        </w:numPr>
        <w:spacing w:after="60" w:before="60"/>
      </w:pPr>
      <w:r>
        <w:rPr>
          <w:rFonts w:ascii="Arial" w:cs="Arial" w:eastAsia="Arial" w:hAnsi="Arial"/>
          <w:color w:val="1A1A1A"/>
          <w:sz w:val="22"/>
          <w:szCs w:val="22"/>
        </w:rPr>
        <w:t xml:space="preserve">Serie de tiempo de V5 (Margen Operativo) con predicción a 6 meses y bandas de confianza.</w:t>
      </w:r>
    </w:p>
    <w:p>
      <w:pPr>
        <w:pStyle w:val="ListParagraph"/>
        <w:numPr>
          <w:ilvl w:val="0"/>
          <w:numId w:val="2"/>
        </w:numPr>
        <w:spacing w:after="60" w:before="60"/>
      </w:pPr>
      <w:r>
        <w:rPr>
          <w:rFonts w:ascii="Arial" w:cs="Arial" w:eastAsia="Arial" w:hAnsi="Arial"/>
          <w:color w:val="1A1A1A"/>
          <w:sz w:val="22"/>
          <w:szCs w:val="22"/>
        </w:rPr>
        <w:t xml:space="preserve">Matriz de confusión del modelo de churn con métricas de precisión, recall y F1.</w:t>
      </w:r>
    </w:p>
    <w:p>
      <w:pPr>
        <w:pBdr>
          <w:bottom w:val="single" w:color="8C1F28" w:sz="6" w:space="4"/>
        </w:pBdr>
        <w:spacing w:after="150" w:before="300"/>
      </w:pPr>
      <w:r>
        <w:rPr>
          <w:rFonts w:ascii="Arial" w:cs="Arial" w:eastAsia="Arial" w:hAnsi="Arial"/>
          <w:b/>
          <w:bCs/>
          <w:color w:val="8C1F28"/>
          <w:sz w:val="36"/>
          <w:szCs w:val="36"/>
        </w:rPr>
        <w:t xml:space="preserve">11. Conclusiones y Recomendaciones</w:t>
      </w:r>
    </w:p>
    <w:p>
      <w:pPr>
        <w:spacing w:after="120" w:before="80"/>
        <w:jc w:val="both"/>
      </w:pPr>
      <w:r>
        <w:rPr>
          <w:rFonts w:ascii="Arial" w:cs="Arial" w:eastAsia="Arial" w:hAnsi="Arial"/>
          <w:b w:val="false"/>
          <w:bCs w:val="false"/>
          <w:i w:val="false"/>
          <w:iCs w:val="false"/>
          <w:color w:val="1A1A1A"/>
          <w:sz w:val="22"/>
          <w:szCs w:val="22"/>
        </w:rPr>
        <w:t xml:space="preserve">La implementación del componente de Minería de Datos en AxiaData demuestra que el análisis avanzado de datos genera valor estratégico tangible para las organizaciones. Las cinco variables de negocio seleccionadas (Conversión, CAC, CLV, Retención y Margen) proveen un marco completo y accionable para la toma de decisiones.</w:t>
      </w:r>
    </w:p>
    <w:p>
      <w:pPr>
        <w:spacing w:after="150" w:before="300"/>
      </w:pPr>
      <w:r>
        <w:rPr>
          <w:rFonts w:ascii="Arial" w:cs="Arial" w:eastAsia="Arial" w:hAnsi="Arial"/>
          <w:b/>
          <w:bCs/>
          <w:color w:val="D4820A"/>
          <w:sz w:val="28"/>
          <w:szCs w:val="28"/>
        </w:rPr>
        <w:t xml:space="preserve">11.1 Conclusiones Técnicas</w:t>
      </w:r>
    </w:p>
    <w:p>
      <w:pPr>
        <w:pStyle w:val="ListParagraph"/>
        <w:numPr>
          <w:ilvl w:val="0"/>
          <w:numId w:val="2"/>
        </w:numPr>
        <w:spacing w:after="60" w:before="60"/>
      </w:pPr>
      <w:r>
        <w:rPr>
          <w:rFonts w:ascii="Arial" w:cs="Arial" w:eastAsia="Arial" w:hAnsi="Arial"/>
          <w:color w:val="1A1A1A"/>
          <w:sz w:val="22"/>
          <w:szCs w:val="22"/>
        </w:rPr>
        <w:t xml:space="preserve">La arquitectura medallion del datalake garantiza datos de alta calidad (97.3%) como base para modelos confiables.</w:t>
      </w:r>
    </w:p>
    <w:p>
      <w:pPr>
        <w:pStyle w:val="ListParagraph"/>
        <w:numPr>
          <w:ilvl w:val="0"/>
          <w:numId w:val="2"/>
        </w:numPr>
        <w:spacing w:after="60" w:before="60"/>
      </w:pPr>
      <w:r>
        <w:rPr>
          <w:rFonts w:ascii="Arial" w:cs="Arial" w:eastAsia="Arial" w:hAnsi="Arial"/>
          <w:color w:val="1A1A1A"/>
          <w:sz w:val="22"/>
          <w:szCs w:val="22"/>
        </w:rPr>
        <w:t xml:space="preserve">El ensemble de modelos (Random Forest, XGBoost, ARIMA+LSTM) proporciona cobertura predictiva sobre las 5 variables estratégicas con métricas por encima del umbral de producción.</w:t>
      </w:r>
    </w:p>
    <w:p>
      <w:pPr>
        <w:pStyle w:val="ListParagraph"/>
        <w:numPr>
          <w:ilvl w:val="0"/>
          <w:numId w:val="2"/>
        </w:numPr>
        <w:spacing w:after="60" w:before="60"/>
      </w:pPr>
      <w:r>
        <w:rPr>
          <w:rFonts w:ascii="Arial" w:cs="Arial" w:eastAsia="Arial" w:hAnsi="Arial"/>
          <w:color w:val="1A1A1A"/>
          <w:sz w:val="22"/>
          <w:szCs w:val="22"/>
        </w:rPr>
        <w:t xml:space="preserve">Las reglas de asociación generan insights no obvios que enriquecen las estrategias comerciales y de retención.</w:t>
      </w:r>
    </w:p>
    <w:p>
      <w:pPr>
        <w:spacing w:after="150" w:before="300"/>
      </w:pPr>
      <w:r>
        <w:rPr>
          <w:rFonts w:ascii="Arial" w:cs="Arial" w:eastAsia="Arial" w:hAnsi="Arial"/>
          <w:b/>
          <w:bCs/>
          <w:color w:val="D4820A"/>
          <w:sz w:val="28"/>
          <w:szCs w:val="28"/>
        </w:rPr>
        <w:t xml:space="preserve">11.2 Recomendaciones</w:t>
      </w:r>
    </w:p>
    <w:p>
      <w:pPr>
        <w:pStyle w:val="ListParagraph"/>
        <w:numPr>
          <w:ilvl w:val="0"/>
          <w:numId w:val="2"/>
        </w:numPr>
        <w:spacing w:after="60" w:before="60"/>
      </w:pPr>
      <w:r>
        <w:rPr>
          <w:rFonts w:ascii="Arial" w:cs="Arial" w:eastAsia="Arial" w:hAnsi="Arial"/>
          <w:color w:val="1A1A1A"/>
          <w:sz w:val="22"/>
          <w:szCs w:val="22"/>
        </w:rPr>
        <w:t xml:space="preserve">Implementar un ciclo de reentrenamiento mensual automático (MLOps) para mantener la vigencia de los modelos ante cambios en el comportamiento del mercado.</w:t>
      </w:r>
    </w:p>
    <w:p>
      <w:pPr>
        <w:pStyle w:val="ListParagraph"/>
        <w:numPr>
          <w:ilvl w:val="0"/>
          <w:numId w:val="2"/>
        </w:numPr>
        <w:spacing w:after="60" w:before="60"/>
      </w:pPr>
      <w:r>
        <w:rPr>
          <w:rFonts w:ascii="Arial" w:cs="Arial" w:eastAsia="Arial" w:hAnsi="Arial"/>
          <w:color w:val="1A1A1A"/>
          <w:sz w:val="22"/>
          <w:szCs w:val="22"/>
        </w:rPr>
        <w:t xml:space="preserve">Expandir las fuentes de datos del datalake con señales externas (redes sociales, tendencias de mercado) para enriquecer los modelos predictivos.</w:t>
      </w:r>
    </w:p>
    <w:p>
      <w:pPr>
        <w:pStyle w:val="ListParagraph"/>
        <w:numPr>
          <w:ilvl w:val="0"/>
          <w:numId w:val="2"/>
        </w:numPr>
        <w:spacing w:after="60" w:before="60"/>
      </w:pPr>
      <w:r>
        <w:rPr>
          <w:rFonts w:ascii="Arial" w:cs="Arial" w:eastAsia="Arial" w:hAnsi="Arial"/>
          <w:color w:val="1A1A1A"/>
          <w:sz w:val="22"/>
          <w:szCs w:val="22"/>
        </w:rPr>
        <w:t xml:space="preserve">Establecer un comité de revisión de calidad de datos mensual para validar las métricas de la arquitectura medallion.</w:t>
      </w:r>
    </w:p>
    <w:p>
      <w:pPr>
        <w:pStyle w:val="ListParagraph"/>
        <w:numPr>
          <w:ilvl w:val="0"/>
          <w:numId w:val="2"/>
        </w:numPr>
        <w:spacing w:after="60" w:before="60"/>
      </w:pPr>
      <w:r>
        <w:rPr>
          <w:rFonts w:ascii="Arial" w:cs="Arial" w:eastAsia="Arial" w:hAnsi="Arial"/>
          <w:color w:val="1A1A1A"/>
          <w:sz w:val="22"/>
          <w:szCs w:val="22"/>
        </w:rPr>
        <w:t xml:space="preserve">Integrar la capa de explicabilidad (SHAP values) en todos los modelos para facilitar la interpretación por parte de las áreas de negocio.</w:t>
      </w:r>
    </w:p>
    <w:p>
      <w:pPr>
        <w:spacing w:after="80" w:before="80"/>
      </w:pPr>
      <w:r>
        <w:t xml:space="preserve"/>
      </w:r>
    </w:p>
    <w:p>
      <w:pPr>
        <w:pBdr>
          <w:bottom w:val="single" w:color="8C1F28" w:sz="6" w:space="4"/>
        </w:pBdr>
        <w:spacing w:after="150" w:before="300"/>
      </w:pPr>
      <w:r>
        <w:rPr>
          <w:rFonts w:ascii="Arial" w:cs="Arial" w:eastAsia="Arial" w:hAnsi="Arial"/>
          <w:b/>
          <w:bCs/>
          <w:color w:val="8C1F28"/>
          <w:sz w:val="36"/>
          <w:szCs w:val="36"/>
        </w:rPr>
        <w:t xml:space="preserve">12. Referencias Bibliográficas</w:t>
      </w:r>
    </w:p>
    <w:p>
      <w:pPr>
        <w:spacing w:after="120" w:before="80"/>
        <w:jc w:val="both"/>
      </w:pPr>
      <w:r>
        <w:rPr>
          <w:rFonts w:ascii="Arial" w:cs="Arial" w:eastAsia="Arial" w:hAnsi="Arial"/>
          <w:b w:val="false"/>
          <w:bCs w:val="false"/>
          <w:i/>
          <w:iCs/>
          <w:color w:val="1A1A1A"/>
          <w:sz w:val="22"/>
          <w:szCs w:val="22"/>
        </w:rPr>
        <w:t xml:space="preserve">Han, J., Kamber, M., &amp; Pei, J. (2011). Data Mining: Concepts and Techniques (3rd ed.). Morgan Kaufmann.</w:t>
      </w:r>
    </w:p>
    <w:p>
      <w:pPr>
        <w:spacing w:after="120" w:before="80"/>
        <w:jc w:val="both"/>
      </w:pPr>
      <w:r>
        <w:rPr>
          <w:rFonts w:ascii="Arial" w:cs="Arial" w:eastAsia="Arial" w:hAnsi="Arial"/>
          <w:b w:val="false"/>
          <w:bCs w:val="false"/>
          <w:i/>
          <w:iCs/>
          <w:color w:val="1A1A1A"/>
          <w:sz w:val="22"/>
          <w:szCs w:val="22"/>
        </w:rPr>
        <w:t xml:space="preserve">Géron, A. (2022). Hands-On Machine Learning with Scikit-Learn, Keras, and TensorFlow (3rd ed.). O'Reilly Media.</w:t>
      </w:r>
    </w:p>
    <w:p>
      <w:pPr>
        <w:spacing w:after="120" w:before="80"/>
        <w:jc w:val="both"/>
      </w:pPr>
      <w:r>
        <w:rPr>
          <w:rFonts w:ascii="Arial" w:cs="Arial" w:eastAsia="Arial" w:hAnsi="Arial"/>
          <w:b w:val="false"/>
          <w:bCs w:val="false"/>
          <w:i/>
          <w:iCs/>
          <w:color w:val="1A1A1A"/>
          <w:sz w:val="22"/>
          <w:szCs w:val="22"/>
        </w:rPr>
        <w:t xml:space="preserve">Provost, F., &amp; Fawcett, T. (2013). Data Science for Business. O'Reilly Media.</w:t>
      </w:r>
    </w:p>
    <w:p>
      <w:pPr>
        <w:spacing w:after="120" w:before="80"/>
        <w:jc w:val="both"/>
      </w:pPr>
      <w:r>
        <w:rPr>
          <w:rFonts w:ascii="Arial" w:cs="Arial" w:eastAsia="Arial" w:hAnsi="Arial"/>
          <w:b w:val="false"/>
          <w:bCs w:val="false"/>
          <w:i/>
          <w:iCs/>
          <w:color w:val="1A1A1A"/>
          <w:sz w:val="22"/>
          <w:szCs w:val="22"/>
        </w:rPr>
        <w:t xml:space="preserve">Agrawal, R., &amp; Srikant, R. (1994). Fast Algorithms for Mining Association Rules. VLDB Conference Proceedings.</w:t>
      </w:r>
    </w:p>
    <w:p>
      <w:pPr>
        <w:spacing w:after="120" w:before="80"/>
        <w:jc w:val="both"/>
      </w:pPr>
      <w:r>
        <w:rPr>
          <w:rFonts w:ascii="Arial" w:cs="Arial" w:eastAsia="Arial" w:hAnsi="Arial"/>
          <w:b w:val="false"/>
          <w:bCs w:val="false"/>
          <w:i/>
          <w:iCs/>
          <w:color w:val="1A1A1A"/>
          <w:sz w:val="22"/>
          <w:szCs w:val="22"/>
        </w:rPr>
        <w:t xml:space="preserve">McKinney, W. (2022). Python for Data Analysis (3rd ed.). O'Reilly Media.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820A" w:sz="4" w:space="4"/>
      </w:pBdr>
      <w:tabs>
        <w:tab w:val="right" w:pos="9360"/>
      </w:tabs>
    </w:pPr>
    <w:r>
      <w:rPr>
        <w:rFonts w:ascii="Arial" w:cs="Arial" w:eastAsia="Arial" w:hAnsi="Arial"/>
        <w:color w:val="7A7A7A"/>
        <w:sz w:val="18"/>
        <w:szCs w:val="18"/>
      </w:rPr>
      <w:t xml:space="preserve">Minería de Datos — Docente: Jorge Ismael Medina Plaza</w:t>
    </w:r>
    <w:r>
      <w:rPr>
        <w:rFonts w:ascii="Arial" w:cs="Arial" w:eastAsia="Arial" w:hAnsi="Arial"/>
        <w:sz w:val="18"/>
        <w:szCs w:val="18"/>
      </w:rPr>
      <w:t xml:space="preserve">	</w:t>
    </w:r>
    <w:r>
      <w:rPr>
        <w:rFonts w:ascii="Arial" w:cs="Arial" w:eastAsia="Arial" w:hAnsi="Arial"/>
        <w:color w:val="7A7A7A"/>
        <w:sz w:val="18"/>
        <w:szCs w:val="18"/>
      </w:rPr>
      <w:t xml:space="preserve">Pág.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1F28" w:sz="6" w:space="4"/>
      </w:pBdr>
    </w:pPr>
    <w:r>
      <w:rPr>
        <w:rFonts w:ascii="Arial" w:cs="Arial" w:eastAsia="Arial" w:hAnsi="Arial"/>
        <w:b/>
        <w:bCs/>
        <w:color w:val="8C1F28"/>
        <w:sz w:val="18"/>
        <w:szCs w:val="18"/>
      </w:rPr>
      <w:t xml:space="preserve">FUNDACIÓN UNIVERSITARIA SAN MATEO  |  X Semestre — Grupo 01N31</w:t>
    </w:r>
    <w:r>
      <w:rPr>
        <w:rFonts w:ascii="Arial" w:cs="Arial" w:eastAsia="Arial" w:hAnsi="Arial"/>
        <w:color w:val="7A7A7A"/>
        <w:sz w:val="18"/>
        <w:szCs w:val="18"/>
      </w:rPr>
      <w:t xml:space="preserve">  AxiaData — Sistema Inteligente para la Toma de Decisiones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2026-05-06T03:29:04.522Z</dcterms:created>
  <dcterms:modified xsi:type="dcterms:W3CDTF">2026-05-06T03:29:04.523Z</dcterms:modified>
</cp:coreProperties>
</file>

<file path=docProps/custom.xml><?xml version="1.0" encoding="utf-8"?>
<Properties xmlns="http://schemas.openxmlformats.org/officeDocument/2006/custom-properties" xmlns:vt="http://schemas.openxmlformats.org/officeDocument/2006/docPropsVTypes"/>
</file>