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8C1F28"/>
          <w:sz w:val="30"/>
          <w:szCs w:val="30"/>
        </w:rPr>
        <w:t xml:space="preserve">FUNDACIÓN UNIVERSITARIA SAN MATEO</w:t>
      </w:r>
    </w:p>
    <w:p>
      <w:pPr>
        <w:spacing w:after="300" w:before="60"/>
        <w:jc w:val="center"/>
      </w:pPr>
      <w:r>
        <w:rPr>
          <w:rFonts w:ascii="Arial" w:cs="Arial" w:eastAsia="Arial" w:hAnsi="Arial"/>
          <w:i/>
          <w:iCs/>
          <w:color w:val="7A7A7A"/>
          <w:sz w:val="24"/>
          <w:szCs w:val="24"/>
        </w:rPr>
        <w:t xml:space="preserve">Programa de Ingeniería de Sistemas</w:t>
      </w:r>
    </w:p>
    <w:p>
      <w:pPr>
        <w:spacing w:after="80" w:before="80"/>
      </w:pPr>
      <w:r>
        <w:t xml:space="preserve"/>
      </w:r>
    </w:p>
    <w:p>
      <w:pPr>
        <w:pBdr>
          <w:top w:val="single" w:color="D4820A" w:sz="8"/>
          <w:bottom w:val="single" w:color="D4820A" w:sz="8"/>
        </w:pBdr>
        <w:spacing w:after="200" w:before="200"/>
        <w:jc w:val="center"/>
      </w:pPr>
      <w:r>
        <w:rPr>
          <w:rFonts w:ascii="Arial" w:cs="Arial" w:eastAsia="Arial" w:hAnsi="Arial"/>
          <w:b/>
          <w:bCs/>
          <w:color w:val="8C1F28"/>
          <w:sz w:val="44"/>
          <w:szCs w:val="44"/>
        </w:rPr>
        <w:t xml:space="preserve">MODELADO Y SIMULACIÓN</w:t>
      </w:r>
    </w:p>
    <w:p>
      <w:pPr>
        <w:spacing w:after="80" w:before="80"/>
      </w:pPr>
      <w:r>
        <w:t xml:space="preserve"/>
      </w:r>
    </w:p>
    <w:p>
      <w:pPr>
        <w:spacing w:after="100" w:before="100"/>
        <w:jc w:val="center"/>
      </w:pPr>
      <w:r>
        <w:rPr>
          <w:rFonts w:ascii="Arial" w:cs="Arial" w:eastAsia="Arial" w:hAnsi="Arial"/>
          <w:b/>
          <w:bCs/>
          <w:color w:val="1A1A1A"/>
          <w:sz w:val="28"/>
          <w:szCs w:val="28"/>
        </w:rPr>
        <w:t xml:space="preserve">Sistema Inteligente para la Toma de Decisiones Basadas en Datos</w:t>
      </w:r>
    </w:p>
    <w:p>
      <w:pPr>
        <w:spacing w:after="60" w:before="60"/>
        <w:jc w:val="center"/>
      </w:pPr>
      <w:r>
        <w:rPr>
          <w:rFonts w:ascii="Arial" w:cs="Arial" w:eastAsia="Arial" w:hAnsi="Arial"/>
          <w:i/>
          <w:iCs/>
          <w:color w:val="D4820A"/>
          <w:sz w:val="24"/>
          <w:szCs w:val="24"/>
        </w:rPr>
        <w:t xml:space="preserve">Proyecto Integrador — AxiaData</w:t>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1A1A1A"/>
          <w:sz w:val="22"/>
          <w:szCs w:val="22"/>
        </w:rPr>
        <w:t xml:space="preserve">Docente: Jorge Ismael Medina Plaza</w:t>
      </w:r>
    </w:p>
    <w:p>
      <w:pPr>
        <w:spacing w:after="40" w:before="40"/>
        <w:jc w:val="center"/>
      </w:pPr>
      <w:r>
        <w:rPr>
          <w:rFonts w:ascii="Arial" w:cs="Arial" w:eastAsia="Arial" w:hAnsi="Arial"/>
          <w:color w:val="7A7A7A"/>
          <w:sz w:val="22"/>
          <w:szCs w:val="22"/>
        </w:rPr>
        <w:t xml:space="preserve">Coordinador: Edward Reyes Corredor</w:t>
      </w:r>
    </w:p>
    <w:p>
      <w:pPr>
        <w:spacing w:after="80" w:before="40"/>
        <w:jc w:val="center"/>
      </w:pPr>
      <w:r>
        <w:rPr>
          <w:rFonts w:ascii="Arial" w:cs="Arial" w:eastAsia="Arial" w:hAnsi="Arial"/>
          <w:color w:val="7A7A7A"/>
          <w:sz w:val="22"/>
          <w:szCs w:val="22"/>
        </w:rPr>
        <w:t xml:space="preserve">X Semestre  |  Grupo 01N31  |  Bogotá, 2025</w:t>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8C1F28"/>
          <w:sz w:val="22"/>
          <w:szCs w:val="22"/>
        </w:rPr>
        <w:t xml:space="preserve">Equipo AxiaData — Grupo 1</w:t>
      </w:r>
    </w:p>
    <w:p>
      <w:pPr>
        <w:jc w:val="center"/>
      </w:pPr>
      <w:r>
        <w:rPr>
          <w:rFonts w:ascii="Arial" w:cs="Arial" w:eastAsia="Arial" w:hAnsi="Arial"/>
          <w:color w:val="1A1A1A"/>
          <w:sz w:val="22"/>
          <w:szCs w:val="22"/>
        </w:rPr>
        <w:t xml:space="preserve">Brayan Prieto  |  Integrante 2  |  Integrante 3</w:t>
      </w:r>
    </w:p>
    <w:p>
      <w:r>
        <w:br w:type="page"/>
      </w:r>
    </w:p>
    <w:p>
      <w:pPr>
        <w:pBdr>
          <w:bottom w:val="single" w:color="8C1F28" w:sz="6" w:space="4"/>
        </w:pBdr>
        <w:spacing w:after="150" w:before="300"/>
      </w:pPr>
      <w:r>
        <w:rPr>
          <w:rFonts w:ascii="Arial" w:cs="Arial" w:eastAsia="Arial" w:hAnsi="Arial"/>
          <w:b/>
          <w:bCs/>
          <w:color w:val="8C1F28"/>
          <w:sz w:val="36"/>
          <w:szCs w:val="36"/>
        </w:rPr>
        <w:t xml:space="preserve">1. Introducción y Contexto</w:t>
      </w:r>
    </w:p>
    <w:p>
      <w:pPr>
        <w:spacing w:after="120" w:before="80"/>
        <w:jc w:val="both"/>
      </w:pPr>
      <w:r>
        <w:rPr>
          <w:rFonts w:ascii="Arial" w:cs="Arial" w:eastAsia="Arial" w:hAnsi="Arial"/>
          <w:b w:val="false"/>
          <w:bCs w:val="false"/>
          <w:i w:val="false"/>
          <w:iCs w:val="false"/>
          <w:color w:val="1A1A1A"/>
          <w:sz w:val="22"/>
          <w:szCs w:val="22"/>
        </w:rPr>
        <w:t xml:space="preserve">El componente de Modelado y Simulación en AxiaData permite crear representaciones computacionales de los sistemas organizacionales y simular escenarios futuros para evaluar el impacto de distintas decisiones antes de implementarlas. Esta capacidad de 'experimentación virtual' es fundamental para reducir riesgos y optimizar recursos en la toma de decisiones estratégicas.</w:t>
      </w:r>
    </w:p>
    <w:p>
      <w:pPr>
        <w:spacing w:after="120" w:before="80"/>
        <w:jc w:val="both"/>
      </w:pPr>
      <w:r>
        <w:rPr>
          <w:rFonts w:ascii="Arial" w:cs="Arial" w:eastAsia="Arial" w:hAnsi="Arial"/>
          <w:b w:val="false"/>
          <w:bCs w:val="false"/>
          <w:i w:val="false"/>
          <w:iCs w:val="false"/>
          <w:color w:val="1A1A1A"/>
          <w:sz w:val="22"/>
          <w:szCs w:val="22"/>
        </w:rPr>
        <w:t xml:space="preserve">A diferencia de los modelos de minería de datos que aprenden de datos históricos, la simulación permite explorar escenarios hipotéticos, incluyendo condiciones que aún no han ocurrido: cambios regulatorios, disrupciones del mercado, variaciones en costos o crisis económicas. AxiaData integra ambas capacidades para ofrecer una plataforma completa de apoyo a las decisiones.</w:t>
      </w:r>
    </w:p>
    <w:p>
      <w:pPr>
        <w:spacing w:after="150" w:before="300"/>
      </w:pPr>
      <w:r>
        <w:rPr>
          <w:rFonts w:ascii="Arial" w:cs="Arial" w:eastAsia="Arial" w:hAnsi="Arial"/>
          <w:b/>
          <w:bCs/>
          <w:color w:val="D4820A"/>
          <w:sz w:val="28"/>
          <w:szCs w:val="28"/>
        </w:rPr>
        <w:t xml:space="preserve">1.1 Objetivos del Componente de Simulación</w:t>
      </w:r>
    </w:p>
    <w:p>
      <w:pPr>
        <w:pStyle w:val="ListParagraph"/>
        <w:numPr>
          <w:ilvl w:val="0"/>
          <w:numId w:val="2"/>
        </w:numPr>
        <w:spacing w:after="60" w:before="60"/>
      </w:pPr>
      <w:r>
        <w:rPr>
          <w:rFonts w:ascii="Arial" w:cs="Arial" w:eastAsia="Arial" w:hAnsi="Arial"/>
          <w:color w:val="1A1A1A"/>
          <w:sz w:val="22"/>
          <w:szCs w:val="22"/>
        </w:rPr>
        <w:t xml:space="preserve">Desarrollar modelos de simulación para las cinco variables estratégicas de negocio (V1–V5) del sistema AxiaData.</w:t>
      </w:r>
    </w:p>
    <w:p>
      <w:pPr>
        <w:pStyle w:val="ListParagraph"/>
        <w:numPr>
          <w:ilvl w:val="0"/>
          <w:numId w:val="2"/>
        </w:numPr>
        <w:spacing w:after="60" w:before="60"/>
      </w:pPr>
      <w:r>
        <w:rPr>
          <w:rFonts w:ascii="Arial" w:cs="Arial" w:eastAsia="Arial" w:hAnsi="Arial"/>
          <w:color w:val="1A1A1A"/>
          <w:sz w:val="22"/>
          <w:szCs w:val="22"/>
        </w:rPr>
        <w:t xml:space="preserve">Implementar simulaciones de Monte Carlo y de eventos discretos para escenarios de decisión críticos.</w:t>
      </w:r>
    </w:p>
    <w:p>
      <w:pPr>
        <w:pStyle w:val="ListParagraph"/>
        <w:numPr>
          <w:ilvl w:val="0"/>
          <w:numId w:val="2"/>
        </w:numPr>
        <w:spacing w:after="60" w:before="60"/>
      </w:pPr>
      <w:r>
        <w:rPr>
          <w:rFonts w:ascii="Arial" w:cs="Arial" w:eastAsia="Arial" w:hAnsi="Arial"/>
          <w:color w:val="1A1A1A"/>
          <w:sz w:val="22"/>
          <w:szCs w:val="22"/>
        </w:rPr>
        <w:t xml:space="preserve">Validar los modelos contra datos históricos del datalake con criterios de aceptación definidos.</w:t>
      </w:r>
    </w:p>
    <w:p>
      <w:pPr>
        <w:pStyle w:val="ListParagraph"/>
        <w:numPr>
          <w:ilvl w:val="0"/>
          <w:numId w:val="2"/>
        </w:numPr>
        <w:spacing w:after="60" w:before="60"/>
      </w:pPr>
      <w:r>
        <w:rPr>
          <w:rFonts w:ascii="Arial" w:cs="Arial" w:eastAsia="Arial" w:hAnsi="Arial"/>
          <w:color w:val="1A1A1A"/>
          <w:sz w:val="22"/>
          <w:szCs w:val="22"/>
        </w:rPr>
        <w:t xml:space="preserve">Generar recomendaciones basadas en simulación para la dirección estratégica de la organización.</w:t>
      </w:r>
    </w:p>
    <w:p>
      <w:pPr>
        <w:pStyle w:val="ListParagraph"/>
        <w:numPr>
          <w:ilvl w:val="0"/>
          <w:numId w:val="2"/>
        </w:numPr>
        <w:spacing w:after="60" w:before="60"/>
      </w:pPr>
      <w:r>
        <w:rPr>
          <w:rFonts w:ascii="Arial" w:cs="Arial" w:eastAsia="Arial" w:hAnsi="Arial"/>
          <w:color w:val="1A1A1A"/>
          <w:sz w:val="22"/>
          <w:szCs w:val="22"/>
        </w:rPr>
        <w:t xml:space="preserve">Evaluar el impacto de variables externas (macroeconómicas, regulatorias, competitivas) sobre las variables de negocio.</w:t>
      </w:r>
    </w:p>
    <w:p>
      <w:pPr>
        <w:pBdr>
          <w:bottom w:val="single" w:color="8C1F28" w:sz="6" w:space="4"/>
        </w:pBdr>
        <w:spacing w:after="150" w:before="300"/>
      </w:pPr>
      <w:r>
        <w:rPr>
          <w:rFonts w:ascii="Arial" w:cs="Arial" w:eastAsia="Arial" w:hAnsi="Arial"/>
          <w:b/>
          <w:bCs/>
          <w:color w:val="8C1F28"/>
          <w:sz w:val="36"/>
          <w:szCs w:val="36"/>
        </w:rPr>
        <w:t xml:space="preserve">2. Marco Teórico de Modelado y Simulación</w:t>
      </w:r>
    </w:p>
    <w:p>
      <w:pPr>
        <w:spacing w:after="120" w:before="80"/>
        <w:jc w:val="both"/>
      </w:pPr>
      <w:r>
        <w:rPr>
          <w:rFonts w:ascii="Arial" w:cs="Arial" w:eastAsia="Arial" w:hAnsi="Arial"/>
          <w:b w:val="false"/>
          <w:bCs w:val="false"/>
          <w:i w:val="false"/>
          <w:iCs w:val="false"/>
          <w:color w:val="1A1A1A"/>
          <w:sz w:val="22"/>
          <w:szCs w:val="22"/>
        </w:rPr>
        <w:t xml:space="preserve">La simulación computacional es una técnica que permite imitar el comportamiento de un sistema real o hipotético a lo largo del tiempo. Según Banks et al. (2010), la simulación es el proceso de diseñar un modelo de un sistema real y conducir experimentos con ese modelo con el propósito de entender el comportamiento del sistema y/o evaluar diversas estrategias para la operación del sistema.</w:t>
      </w:r>
    </w:p>
    <w:p>
      <w:pPr>
        <w:spacing w:after="150" w:before="300"/>
      </w:pPr>
      <w:r>
        <w:rPr>
          <w:rFonts w:ascii="Arial" w:cs="Arial" w:eastAsia="Arial" w:hAnsi="Arial"/>
          <w:b/>
          <w:bCs/>
          <w:color w:val="D4820A"/>
          <w:sz w:val="28"/>
          <w:szCs w:val="28"/>
        </w:rPr>
        <w:t xml:space="preserve">2.1 Tipos de Simulación Aplicados en AxiaData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Tipo de Simulación</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Aplicación en AxiaData</w:t>
            </w:r>
          </w:p>
        </w:tc>
        <w:tc>
          <w:tcPr>
            <w:tcW w:type="dxa" w:w="17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Variables Asociadas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Monte Carlo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Técnica estocástica que usa muestras aleatorias repetidas para estimar distribuciones de resultados.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Proyección de ingresos, estimación de riesgo financiero, análisis de sensibilidad de KPIs.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 V2, V5</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Eventos Discretos (DES)</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Modela sistemas donde los cambios ocurren en puntos específicos del tiempo (eventos).</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Simulación del pipeline comercial: leads → oportunidades → cierres.</w:t>
            </w:r>
          </w:p>
        </w:tc>
        <w:tc>
          <w:tcPr>
            <w:tcW w:type="dxa" w:w="1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V1, V4</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Dinámica de Sistemas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Modela retroalimentaciones causales y dinámicas de largo plazo entre variables.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Modelo de crecimiento de base de clientes con efectos de retención y adquisición.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V3, V4</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Simulación de Agentes</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Modela el comportamiento individual de agentes y las interacciones emergentes.</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Comportamiento de clientes individuales y decisiones de churn.</w:t>
            </w:r>
          </w:p>
        </w:tc>
        <w:tc>
          <w:tcPr>
            <w:tcW w:type="dxa" w:w="1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V4</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3. Modelos de Simulación Desarrollados</w:t>
      </w:r>
    </w:p>
    <w:p>
      <w:pPr>
        <w:spacing w:after="150" w:before="300"/>
      </w:pPr>
      <w:r>
        <w:rPr>
          <w:rFonts w:ascii="Arial" w:cs="Arial" w:eastAsia="Arial" w:hAnsi="Arial"/>
          <w:b/>
          <w:bCs/>
          <w:color w:val="D4820A"/>
          <w:sz w:val="28"/>
          <w:szCs w:val="28"/>
        </w:rPr>
        <w:t xml:space="preserve">3.1 Simulación Monte Carlo — Proyección de Margen Operativo (V5)</w:t>
      </w:r>
    </w:p>
    <w:p>
      <w:pPr>
        <w:spacing w:after="120" w:before="80"/>
        <w:jc w:val="both"/>
      </w:pPr>
      <w:r>
        <w:rPr>
          <w:rFonts w:ascii="Arial" w:cs="Arial" w:eastAsia="Arial" w:hAnsi="Arial"/>
          <w:b w:val="false"/>
          <w:bCs w:val="false"/>
          <w:i w:val="false"/>
          <w:iCs w:val="false"/>
          <w:color w:val="1A1A1A"/>
          <w:sz w:val="22"/>
          <w:szCs w:val="22"/>
        </w:rPr>
        <w:t xml:space="preserve">El modelo Monte Carlo para el Margen de Rentabilidad Operativa (V5) genera 10,000 iteraciones para cada período proyectado, considerando la incertidumbre en las variables de entrada.</w:t>
      </w:r>
    </w:p>
    <w:p>
      <w:pPr>
        <w:pStyle w:val="ListParagraph"/>
        <w:numPr>
          <w:ilvl w:val="0"/>
          <w:numId w:val="2"/>
        </w:numPr>
        <w:spacing w:after="60" w:before="60"/>
      </w:pPr>
      <w:r>
        <w:rPr>
          <w:rFonts w:ascii="Arial" w:cs="Arial" w:eastAsia="Arial" w:hAnsi="Arial"/>
          <w:color w:val="1A1A1A"/>
          <w:sz w:val="22"/>
          <w:szCs w:val="22"/>
        </w:rPr>
        <w:t xml:space="preserve">Variables de entrada estocásticas: tasa de crecimiento de ingresos (distribución normal, μ=12%, σ=4%), costo de personal (distribución triangular, min=55%, max=65%, moda=60% de ingresos), costo de infraestructura cloud (distribución log-normal).</w:t>
      </w:r>
    </w:p>
    <w:p>
      <w:pPr>
        <w:pStyle w:val="ListParagraph"/>
        <w:numPr>
          <w:ilvl w:val="0"/>
          <w:numId w:val="2"/>
        </w:numPr>
        <w:spacing w:after="60" w:before="60"/>
      </w:pPr>
      <w:r>
        <w:rPr>
          <w:rFonts w:ascii="Arial" w:cs="Arial" w:eastAsia="Arial" w:hAnsi="Arial"/>
          <w:color w:val="1A1A1A"/>
          <w:sz w:val="22"/>
          <w:szCs w:val="22"/>
        </w:rPr>
        <w:t xml:space="preserve">Salida: distribución del Margen Operativo con percentiles P10, P50 (mediana) y P90. Intervalo de confianza del 80%: [8.2%, 19.7%] para el próximo trimestre.</w:t>
      </w:r>
    </w:p>
    <w:p>
      <w:pPr>
        <w:pStyle w:val="ListParagraph"/>
        <w:numPr>
          <w:ilvl w:val="0"/>
          <w:numId w:val="2"/>
        </w:numPr>
        <w:spacing w:after="60" w:before="60"/>
      </w:pPr>
      <w:r>
        <w:rPr>
          <w:rFonts w:ascii="Arial" w:cs="Arial" w:eastAsia="Arial" w:hAnsi="Arial"/>
          <w:color w:val="1A1A1A"/>
          <w:sz w:val="22"/>
          <w:szCs w:val="22"/>
        </w:rPr>
        <w:t xml:space="preserve">Número de iteraciones: 10,000 por período. Generador aleatorio: Mersenne Twister (seed reproducible para auditoría).</w:t>
      </w:r>
    </w:p>
    <w:p>
      <w:pPr>
        <w:pStyle w:val="ListParagraph"/>
        <w:numPr>
          <w:ilvl w:val="0"/>
          <w:numId w:val="2"/>
        </w:numPr>
        <w:spacing w:after="60" w:before="60"/>
      </w:pPr>
      <w:r>
        <w:rPr>
          <w:rFonts w:ascii="Arial" w:cs="Arial" w:eastAsia="Arial" w:hAnsi="Arial"/>
          <w:color w:val="1A1A1A"/>
          <w:sz w:val="22"/>
          <w:szCs w:val="22"/>
        </w:rPr>
        <w:t xml:space="preserve">Resultado clave: probabilidad del 73% de mantener margen &gt; 12% bajo condiciones actuales. Probabilidad del 28% de superar el umbral del 18% con optimización de costos de personal.</w:t>
      </w:r>
    </w:p>
    <w:p>
      <w:pPr>
        <w:spacing w:after="150" w:before="300"/>
      </w:pPr>
      <w:r>
        <w:rPr>
          <w:rFonts w:ascii="Arial" w:cs="Arial" w:eastAsia="Arial" w:hAnsi="Arial"/>
          <w:b/>
          <w:bCs/>
          <w:color w:val="D4820A"/>
          <w:sz w:val="28"/>
          <w:szCs w:val="28"/>
        </w:rPr>
        <w:t xml:space="preserve">3.2 Simulación de Eventos Discretos — Pipeline Comercial (V1)</w:t>
      </w:r>
    </w:p>
    <w:p>
      <w:pPr>
        <w:spacing w:after="120" w:before="80"/>
        <w:jc w:val="both"/>
      </w:pPr>
      <w:r>
        <w:rPr>
          <w:rFonts w:ascii="Arial" w:cs="Arial" w:eastAsia="Arial" w:hAnsi="Arial"/>
          <w:b w:val="false"/>
          <w:bCs w:val="false"/>
          <w:i w:val="false"/>
          <w:iCs w:val="false"/>
          <w:color w:val="1A1A1A"/>
          <w:sz w:val="22"/>
          <w:szCs w:val="22"/>
        </w:rPr>
        <w:t xml:space="preserve">El modelo DES simula el flujo de leads a través del embudo comercial, con tiempos de permanencia en cada etapa distribuidos estadísticamente a partir de datos históricos del datalake.</w:t>
      </w:r>
    </w:p>
    <w:p>
      <w:pPr>
        <w:pStyle w:val="ListParagraph"/>
        <w:numPr>
          <w:ilvl w:val="0"/>
          <w:numId w:val="2"/>
        </w:numPr>
        <w:spacing w:after="60" w:before="60"/>
      </w:pPr>
      <w:r>
        <w:rPr>
          <w:rFonts w:ascii="Arial" w:cs="Arial" w:eastAsia="Arial" w:hAnsi="Arial"/>
          <w:color w:val="1A1A1A"/>
          <w:sz w:val="22"/>
          <w:szCs w:val="22"/>
        </w:rPr>
        <w:t xml:space="preserve">Etapas del embudo: Lead → Prospecto Calificado → Demo → Propuesta → Negociación → Cierre.</w:t>
      </w:r>
    </w:p>
    <w:p>
      <w:pPr>
        <w:pStyle w:val="ListParagraph"/>
        <w:numPr>
          <w:ilvl w:val="0"/>
          <w:numId w:val="2"/>
        </w:numPr>
        <w:spacing w:after="60" w:before="60"/>
      </w:pPr>
      <w:r>
        <w:rPr>
          <w:rFonts w:ascii="Arial" w:cs="Arial" w:eastAsia="Arial" w:hAnsi="Arial"/>
          <w:color w:val="1A1A1A"/>
          <w:sz w:val="22"/>
          <w:szCs w:val="22"/>
        </w:rPr>
        <w:t xml:space="preserve">Parámetros: tasa de conversión entre etapas (datos históricos), tiempo promedio por etapa (distribución exponencial), capacidad del equipo comercial (restricción de recursos).</w:t>
      </w:r>
    </w:p>
    <w:p>
      <w:pPr>
        <w:pStyle w:val="ListParagraph"/>
        <w:numPr>
          <w:ilvl w:val="0"/>
          <w:numId w:val="2"/>
        </w:numPr>
        <w:spacing w:after="60" w:before="60"/>
      </w:pPr>
      <w:r>
        <w:rPr>
          <w:rFonts w:ascii="Arial" w:cs="Arial" w:eastAsia="Arial" w:hAnsi="Arial"/>
          <w:color w:val="1A1A1A"/>
          <w:sz w:val="22"/>
          <w:szCs w:val="22"/>
        </w:rPr>
        <w:t xml:space="preserve">Escenario Base: 450 leads/mes → 67 cierres/mes (tasa global: 14.9%).</w:t>
      </w:r>
    </w:p>
    <w:p>
      <w:pPr>
        <w:pStyle w:val="ListParagraph"/>
        <w:numPr>
          <w:ilvl w:val="0"/>
          <w:numId w:val="2"/>
        </w:numPr>
        <w:spacing w:after="60" w:before="60"/>
      </w:pPr>
      <w:r>
        <w:rPr>
          <w:rFonts w:ascii="Arial" w:cs="Arial" w:eastAsia="Arial" w:hAnsi="Arial"/>
          <w:color w:val="1A1A1A"/>
          <w:sz w:val="22"/>
          <w:szCs w:val="22"/>
        </w:rPr>
        <w:t xml:space="preserve">Escenario Optimizado (mayor seguimiento): 450 leads/mes → 89 cierres/mes (tasa: 19.8%). Incremento del 32.8%.</w:t>
      </w:r>
    </w:p>
    <w:p>
      <w:pPr>
        <w:pStyle w:val="ListParagraph"/>
        <w:numPr>
          <w:ilvl w:val="0"/>
          <w:numId w:val="2"/>
        </w:numPr>
        <w:spacing w:after="60" w:before="60"/>
      </w:pPr>
      <w:r>
        <w:rPr>
          <w:rFonts w:ascii="Arial" w:cs="Arial" w:eastAsia="Arial" w:hAnsi="Arial"/>
          <w:color w:val="1A1A1A"/>
          <w:sz w:val="22"/>
          <w:szCs w:val="22"/>
        </w:rPr>
        <w:t xml:space="preserve">Escenario Reducción Equipo: 450 leads/mes → 52 cierres/mes (tasa: 11.6%). Impacto negativo del -22.2%.</w:t>
      </w:r>
    </w:p>
    <w:p>
      <w:pPr>
        <w:spacing w:after="150" w:before="300"/>
      </w:pPr>
      <w:r>
        <w:rPr>
          <w:rFonts w:ascii="Arial" w:cs="Arial" w:eastAsia="Arial" w:hAnsi="Arial"/>
          <w:b/>
          <w:bCs/>
          <w:color w:val="D4820A"/>
          <w:sz w:val="28"/>
          <w:szCs w:val="28"/>
        </w:rPr>
        <w:t xml:space="preserve">3.3 Dinámica de Sistemas — Modelo de Crecimiento de Clientes (V3, V4)</w:t>
      </w:r>
    </w:p>
    <w:p>
      <w:pPr>
        <w:spacing w:after="120" w:before="80"/>
        <w:jc w:val="both"/>
      </w:pPr>
      <w:r>
        <w:rPr>
          <w:rFonts w:ascii="Arial" w:cs="Arial" w:eastAsia="Arial" w:hAnsi="Arial"/>
          <w:b w:val="false"/>
          <w:bCs w:val="false"/>
          <w:i w:val="false"/>
          <w:iCs w:val="false"/>
          <w:color w:val="1A1A1A"/>
          <w:sz w:val="22"/>
          <w:szCs w:val="22"/>
        </w:rPr>
        <w:t xml:space="preserve">El modelo de dinámica de sistemas captura la retroalimentación entre adquisición, retención y crecimiento del CLV a lo largo del tiempo.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rPr>
          <w:tblHeader/>
        </w:trPr>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Variable de Stock</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1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Flujos de Entrada</w:t>
            </w:r>
          </w:p>
        </w:tc>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Flujos de Salida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Base de Clientes Activos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Total de clientes con suscripción activa.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Nuevas adquisiciones (leads×conversión)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Churn mensual (tasa×stock)</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Ingresos Acumulados</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Ingresos totales generados por la base activa.</w:t>
            </w:r>
          </w:p>
        </w:tc>
        <w:tc>
          <w:tcPr>
            <w:tcW w:type="dxa" w:w="2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ARPU mensual × clientes activos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Costos de servicio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CLV Promedio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Valor de vida promedio de la cartera actual.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Upselling y expansión de cuenta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Descuentos por retención</w:t>
            </w:r>
          </w:p>
        </w:tc>
      </w:tr>
    </w:tbl>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Proyección a 24 meses: con retención actual del 87%, la base crece de 1,200 a 1,847 clientes (+54%). Con mejora al 92%, alcanza 2,203 clientes (+84%).</w:t>
      </w:r>
    </w:p>
    <w:p>
      <w:pPr>
        <w:pStyle w:val="ListParagraph"/>
        <w:numPr>
          <w:ilvl w:val="0"/>
          <w:numId w:val="2"/>
        </w:numPr>
        <w:spacing w:after="60" w:before="60"/>
      </w:pPr>
      <w:r>
        <w:rPr>
          <w:rFonts w:ascii="Arial" w:cs="Arial" w:eastAsia="Arial" w:hAnsi="Arial"/>
          <w:color w:val="1A1A1A"/>
          <w:sz w:val="22"/>
          <w:szCs w:val="22"/>
        </w:rPr>
        <w:t xml:space="preserve">Punto de equilibrio de inversión en retención: incrementar retención del 87% al 92% requiere inversión de $45,000/mes en programas de éxito del cliente; el modelo muestra recuperación en mes 8.</w:t>
      </w:r>
    </w:p>
    <w:p>
      <w:pPr>
        <w:pBdr>
          <w:bottom w:val="single" w:color="8C1F28" w:sz="6" w:space="4"/>
        </w:pBdr>
        <w:spacing w:after="150" w:before="300"/>
      </w:pPr>
      <w:r>
        <w:rPr>
          <w:rFonts w:ascii="Arial" w:cs="Arial" w:eastAsia="Arial" w:hAnsi="Arial"/>
          <w:b/>
          <w:bCs/>
          <w:color w:val="8C1F28"/>
          <w:sz w:val="36"/>
          <w:szCs w:val="36"/>
        </w:rPr>
        <w:t xml:space="preserve">4. Validación de Modelos</w:t>
      </w:r>
    </w:p>
    <w:p>
      <w:pPr>
        <w:spacing w:after="120" w:before="80"/>
        <w:jc w:val="both"/>
      </w:pPr>
      <w:r>
        <w:rPr>
          <w:rFonts w:ascii="Arial" w:cs="Arial" w:eastAsia="Arial" w:hAnsi="Arial"/>
          <w:b w:val="false"/>
          <w:bCs w:val="false"/>
          <w:i w:val="false"/>
          <w:iCs w:val="false"/>
          <w:color w:val="1A1A1A"/>
          <w:sz w:val="22"/>
          <w:szCs w:val="22"/>
        </w:rPr>
        <w:t xml:space="preserve">La validación es el proceso de determinar si el modelo de simulación es una representación suficientemente precisa del sistema real para los propósitos del estudio. En AxiaData se utilizan tres niveles de validación:</w:t>
      </w:r>
    </w:p>
    <w:p>
      <w:pPr>
        <w:spacing w:after="150" w:before="300"/>
      </w:pPr>
      <w:r>
        <w:rPr>
          <w:rFonts w:ascii="Arial" w:cs="Arial" w:eastAsia="Arial" w:hAnsi="Arial"/>
          <w:b/>
          <w:bCs/>
          <w:color w:val="D4820A"/>
          <w:sz w:val="28"/>
          <w:szCs w:val="28"/>
        </w:rPr>
        <w:t xml:space="preserve">4.1 Criterios y Resultados de Validación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1400"/>
        <w:gridCol w:w="13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Método de Validación</w:t>
            </w:r>
          </w:p>
        </w:tc>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Criterio de Aceptación</w:t>
            </w:r>
          </w:p>
        </w:tc>
        <w:tc>
          <w:tcPr>
            <w:tcW w:type="dxa" w:w="1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c>
          <w:tcPr>
            <w:tcW w:type="dxa" w:w="13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Monte Carlo V5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Backtesting 12 meses históricos. Error entre P50 simulado y margen real.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MAPE ≤ 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MAPE = 4.2%</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Aprobado</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DES Pipeline V1</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Comparación de cierres simulados vs. reales (ene-abr 2025).</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Error ≤ 10% en tasa de conversión</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Error = 6.7%</w:t>
            </w:r>
          </w:p>
        </w:tc>
        <w:tc>
          <w:tcPr>
            <w:tcW w:type="dxa" w:w="1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Aprobado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Dinámica Clientes V4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Proyección retrospectiva de base de clientes últimos 18 meses.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R² ≥ 0.90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R² = 0.94</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Aprobado</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Simulación Agentes V4</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Test de Turing: expertos no distinguen serie simulada vs. real.</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Acuerdo ≥ 75%</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Acuerdo = 81%</w:t>
            </w:r>
          </w:p>
        </w:tc>
        <w:tc>
          <w:tcPr>
            <w:tcW w:type="dxa" w:w="1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Aprobado</w:t>
            </w:r>
          </w:p>
        </w:tc>
      </w:tr>
    </w:tbl>
    <w:p>
      <w:pPr>
        <w:spacing w:after="80" w:before="80"/>
      </w:pPr>
      <w:r>
        <w:t xml:space="preserve"/>
      </w:r>
    </w:p>
    <w:p>
      <w:pPr>
        <w:spacing w:after="150" w:before="300"/>
      </w:pPr>
      <w:r>
        <w:rPr>
          <w:rFonts w:ascii="Arial" w:cs="Arial" w:eastAsia="Arial" w:hAnsi="Arial"/>
          <w:b/>
          <w:bCs/>
          <w:color w:val="D4820A"/>
          <w:sz w:val="28"/>
          <w:szCs w:val="28"/>
        </w:rPr>
        <w:t xml:space="preserve">4.2 Análisis de Sensibilidad</w:t>
      </w:r>
    </w:p>
    <w:p>
      <w:pPr>
        <w:spacing w:after="120" w:before="80"/>
        <w:jc w:val="both"/>
      </w:pPr>
      <w:r>
        <w:rPr>
          <w:rFonts w:ascii="Arial" w:cs="Arial" w:eastAsia="Arial" w:hAnsi="Arial"/>
          <w:b w:val="false"/>
          <w:bCs w:val="false"/>
          <w:i w:val="false"/>
          <w:iCs w:val="false"/>
          <w:color w:val="1A1A1A"/>
          <w:sz w:val="22"/>
          <w:szCs w:val="22"/>
        </w:rPr>
        <w:t xml:space="preserve">El análisis de sensibilidad identifica qué parámetros tienen mayor influencia sobre los resultados de la simulación, para focalizar esfuerzos de mejora en los datos de entrada más críticos.</w:t>
      </w:r>
    </w:p>
    <w:p>
      <w:pPr>
        <w:pStyle w:val="ListParagraph"/>
        <w:numPr>
          <w:ilvl w:val="0"/>
          <w:numId w:val="2"/>
        </w:numPr>
        <w:spacing w:after="60" w:before="60"/>
      </w:pPr>
      <w:r>
        <w:rPr>
          <w:rFonts w:ascii="Arial" w:cs="Arial" w:eastAsia="Arial" w:hAnsi="Arial"/>
          <w:color w:val="1A1A1A"/>
          <w:sz w:val="22"/>
          <w:szCs w:val="22"/>
        </w:rPr>
        <w:t xml:space="preserve">Para V5 (Monte Carlo): la tasa de crecimiento de ingresos y el costo de personal explican el 78% de la varianza en el margen simulado.</w:t>
      </w:r>
    </w:p>
    <w:p>
      <w:pPr>
        <w:pStyle w:val="ListParagraph"/>
        <w:numPr>
          <w:ilvl w:val="0"/>
          <w:numId w:val="2"/>
        </w:numPr>
        <w:spacing w:after="60" w:before="60"/>
      </w:pPr>
      <w:r>
        <w:rPr>
          <w:rFonts w:ascii="Arial" w:cs="Arial" w:eastAsia="Arial" w:hAnsi="Arial"/>
          <w:color w:val="1A1A1A"/>
          <w:sz w:val="22"/>
          <w:szCs w:val="22"/>
        </w:rPr>
        <w:t xml:space="preserve">Para V1 (DES): la tasa de conversión en la etapa Demo→Propuesta es la más sensible: cambios del ±5% en este parámetro modifican el resultado global en ±18%.</w:t>
      </w:r>
    </w:p>
    <w:p>
      <w:pPr>
        <w:pStyle w:val="ListParagraph"/>
        <w:numPr>
          <w:ilvl w:val="0"/>
          <w:numId w:val="2"/>
        </w:numPr>
        <w:spacing w:after="60" w:before="60"/>
      </w:pPr>
      <w:r>
        <w:rPr>
          <w:rFonts w:ascii="Arial" w:cs="Arial" w:eastAsia="Arial" w:hAnsi="Arial"/>
          <w:color w:val="1A1A1A"/>
          <w:sz w:val="22"/>
          <w:szCs w:val="22"/>
        </w:rPr>
        <w:t xml:space="preserve">Para V4 (Dinámica): la tasa de churn mensual es el parámetro más sensible. Una variación de 1 punto porcentual en churn genera diferencias de ±180 clientes al mes 24.</w:t>
      </w:r>
    </w:p>
    <w:p>
      <w:pPr>
        <w:pBdr>
          <w:bottom w:val="single" w:color="8C1F28" w:sz="6" w:space="4"/>
        </w:pBdr>
        <w:spacing w:after="150" w:before="300"/>
      </w:pPr>
      <w:r>
        <w:rPr>
          <w:rFonts w:ascii="Arial" w:cs="Arial" w:eastAsia="Arial" w:hAnsi="Arial"/>
          <w:b/>
          <w:bCs/>
          <w:color w:val="8C1F28"/>
          <w:sz w:val="36"/>
          <w:szCs w:val="36"/>
        </w:rPr>
        <w:t xml:space="preserve">5. Modelos de Optimización</w:t>
      </w:r>
    </w:p>
    <w:p>
      <w:pPr>
        <w:spacing w:after="120" w:before="80"/>
        <w:jc w:val="both"/>
      </w:pPr>
      <w:r>
        <w:rPr>
          <w:rFonts w:ascii="Arial" w:cs="Arial" w:eastAsia="Arial" w:hAnsi="Arial"/>
          <w:b w:val="false"/>
          <w:bCs w:val="false"/>
          <w:i w:val="false"/>
          <w:iCs w:val="false"/>
          <w:color w:val="1A1A1A"/>
          <w:sz w:val="22"/>
          <w:szCs w:val="22"/>
        </w:rPr>
        <w:t xml:space="preserve">Combinando simulación con optimización, AxiaData implementa modelos que no solo proyectan escenarios sino que identifican las decisiones óptimas dentro del espacio de alternativas posibles.</w:t>
      </w:r>
    </w:p>
    <w:p>
      <w:pPr>
        <w:spacing w:after="150" w:before="300"/>
      </w:pPr>
      <w:r>
        <w:rPr>
          <w:rFonts w:ascii="Arial" w:cs="Arial" w:eastAsia="Arial" w:hAnsi="Arial"/>
          <w:b/>
          <w:bCs/>
          <w:color w:val="D4820A"/>
          <w:sz w:val="28"/>
          <w:szCs w:val="28"/>
        </w:rPr>
        <w:t xml:space="preserve">5.1 Optimización del Mix de Inversión en Marketing (V1, V2)</w:t>
      </w:r>
    </w:p>
    <w:p>
      <w:pPr>
        <w:spacing w:after="120" w:before="80"/>
        <w:jc w:val="both"/>
      </w:pPr>
      <w:r>
        <w:rPr>
          <w:rFonts w:ascii="Arial" w:cs="Arial" w:eastAsia="Arial" w:hAnsi="Arial"/>
          <w:b w:val="false"/>
          <w:bCs w:val="false"/>
          <w:i w:val="false"/>
          <w:iCs w:val="false"/>
          <w:color w:val="1A1A1A"/>
          <w:sz w:val="22"/>
          <w:szCs w:val="22"/>
        </w:rPr>
        <w:t xml:space="preserve">Objetivo: maximizar la tasa de conversión total (V1) sujeto a un presupuesto de marketing fijo y restricciones de CAC máximo aceptable (V2).</w:t>
      </w:r>
    </w:p>
    <w:p>
      <w:pPr>
        <w:pStyle w:val="ListParagraph"/>
        <w:numPr>
          <w:ilvl w:val="0"/>
          <w:numId w:val="2"/>
        </w:numPr>
        <w:spacing w:after="60" w:before="60"/>
      </w:pPr>
      <w:r>
        <w:rPr>
          <w:rFonts w:ascii="Arial" w:cs="Arial" w:eastAsia="Arial" w:hAnsi="Arial"/>
          <w:color w:val="1A1A1A"/>
          <w:sz w:val="22"/>
          <w:szCs w:val="22"/>
        </w:rPr>
        <w:t xml:space="preserve">Método: programación lineal (LP) con restricciones de presupuesto y CAC máximo por canal.</w:t>
      </w:r>
    </w:p>
    <w:p>
      <w:pPr>
        <w:pStyle w:val="ListParagraph"/>
        <w:numPr>
          <w:ilvl w:val="0"/>
          <w:numId w:val="2"/>
        </w:numPr>
        <w:spacing w:after="60" w:before="60"/>
      </w:pPr>
      <w:r>
        <w:rPr>
          <w:rFonts w:ascii="Arial" w:cs="Arial" w:eastAsia="Arial" w:hAnsi="Arial"/>
          <w:color w:val="1A1A1A"/>
          <w:sz w:val="22"/>
          <w:szCs w:val="22"/>
        </w:rPr>
        <w:t xml:space="preserve">Canales evaluados: SEM, redes sociales, email marketing, eventos, referidos, outbound.</w:t>
      </w:r>
    </w:p>
    <w:p>
      <w:pPr>
        <w:pStyle w:val="ListParagraph"/>
        <w:numPr>
          <w:ilvl w:val="0"/>
          <w:numId w:val="2"/>
        </w:numPr>
        <w:spacing w:after="60" w:before="60"/>
      </w:pPr>
      <w:r>
        <w:rPr>
          <w:rFonts w:ascii="Arial" w:cs="Arial" w:eastAsia="Arial" w:hAnsi="Arial"/>
          <w:color w:val="1A1A1A"/>
          <w:sz w:val="22"/>
          <w:szCs w:val="22"/>
        </w:rPr>
        <w:t xml:space="preserve">Resultado óptimo: reasignación de 40% del presupuesto de SEM (caro, CAC alto) hacia referidos (+CLV promedio) y contenido orgánico, manteniendo volumen de leads con CAC reducido en 23%.</w:t>
      </w:r>
    </w:p>
    <w:p>
      <w:pPr>
        <w:spacing w:after="150" w:before="300"/>
      </w:pPr>
      <w:r>
        <w:rPr>
          <w:rFonts w:ascii="Arial" w:cs="Arial" w:eastAsia="Arial" w:hAnsi="Arial"/>
          <w:b/>
          <w:bCs/>
          <w:color w:val="D4820A"/>
          <w:sz w:val="28"/>
          <w:szCs w:val="28"/>
        </w:rPr>
        <w:t xml:space="preserve">5.2 Optimización de Precios para Maximizar Margen (V5)</w:t>
      </w:r>
    </w:p>
    <w:p>
      <w:pPr>
        <w:pStyle w:val="ListParagraph"/>
        <w:numPr>
          <w:ilvl w:val="0"/>
          <w:numId w:val="2"/>
        </w:numPr>
        <w:spacing w:after="60" w:before="60"/>
      </w:pPr>
      <w:r>
        <w:rPr>
          <w:rFonts w:ascii="Arial" w:cs="Arial" w:eastAsia="Arial" w:hAnsi="Arial"/>
          <w:color w:val="1A1A1A"/>
          <w:sz w:val="22"/>
          <w:szCs w:val="22"/>
        </w:rPr>
        <w:t xml:space="preserve">Modelo de optimización de precios usando simulación DES: encuentra el precio óptimo que maximiza V5 considerando elasticidad de demanda y efectos sobre V4 (retención).</w:t>
      </w:r>
    </w:p>
    <w:p>
      <w:pPr>
        <w:pStyle w:val="ListParagraph"/>
        <w:numPr>
          <w:ilvl w:val="0"/>
          <w:numId w:val="2"/>
        </w:numPr>
        <w:spacing w:after="60" w:before="60"/>
      </w:pPr>
      <w:r>
        <w:rPr>
          <w:rFonts w:ascii="Arial" w:cs="Arial" w:eastAsia="Arial" w:hAnsi="Arial"/>
          <w:color w:val="1A1A1A"/>
          <w:sz w:val="22"/>
          <w:szCs w:val="22"/>
        </w:rPr>
        <w:t xml:space="preserve">Resultado: incremento de precio de 8% en plan Enterprise genera aumento de V5 de 2.1 puntos porcentuales sin impacto estadísticamente significativo en V4 (dentro del intervalo de confianza).</w:t>
      </w:r>
    </w:p>
    <w:p>
      <w:pPr>
        <w:pBdr>
          <w:bottom w:val="single" w:color="8C1F28" w:sz="6" w:space="4"/>
        </w:pBdr>
        <w:spacing w:after="150" w:before="300"/>
      </w:pPr>
      <w:r>
        <w:rPr>
          <w:rFonts w:ascii="Arial" w:cs="Arial" w:eastAsia="Arial" w:hAnsi="Arial"/>
          <w:b/>
          <w:bCs/>
          <w:color w:val="8C1F28"/>
          <w:sz w:val="36"/>
          <w:szCs w:val="36"/>
        </w:rPr>
        <w:t xml:space="preserve">6. Simulación de Variables Externas</w:t>
      </w:r>
    </w:p>
    <w:p>
      <w:pPr>
        <w:spacing w:after="120" w:before="80"/>
        <w:jc w:val="both"/>
      </w:pPr>
      <w:r>
        <w:rPr>
          <w:rFonts w:ascii="Arial" w:cs="Arial" w:eastAsia="Arial" w:hAnsi="Arial"/>
          <w:b w:val="false"/>
          <w:bCs w:val="false"/>
          <w:i w:val="false"/>
          <w:iCs w:val="false"/>
          <w:color w:val="1A1A1A"/>
          <w:sz w:val="22"/>
          <w:szCs w:val="22"/>
        </w:rPr>
        <w:t xml:space="preserve">AxiaData incluye análisis de escenarios con shocks externos que pueden afectar significativamente las cinco variables estratégicas de negocio.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1200"/>
        <w:gridCol w:w="1200"/>
        <w:gridCol w:w="1960"/>
      </w:tblGrid>
      <w:tr>
        <w:trPr>
          <w:tblHeader/>
        </w:trPr>
        <w:tc>
          <w:tcPr>
            <w:tcW w:type="dxa" w:w="1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Escenario Externo</w:t>
            </w:r>
          </w:p>
        </w:tc>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Impacto en V1</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Impacto en V4</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Impacto en V5</w:t>
            </w:r>
          </w:p>
        </w:tc>
        <w:tc>
          <w:tcPr>
            <w:tcW w:type="dxa" w:w="19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Probabilidad Estimada</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Recesión Económica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Contracción del PIB &gt; 2% durante 2 trimestres consecutivos.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-35% leads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 retención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 pp margen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15%</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Nuevo Competidor</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Entrada de competidor con precio 30% menor.</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-20% conversión</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-12% retención</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 pp margen</w:t>
            </w:r>
          </w:p>
        </w:tc>
        <w:tc>
          <w:tcPr>
            <w:tcW w:type="dxa" w:w="1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30%</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Regulación de Datos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Nueva normativa de privacidad que incrementa costos de compliance.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Neutro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 retención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 pp margen</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45%</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Boom Tecnológico</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Crecimiento acelerado en demanda de soluciones de datos.</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+45% leads</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+5% retención</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 pp margen</w:t>
            </w:r>
          </w:p>
        </w:tc>
        <w:tc>
          <w:tcPr>
            <w:tcW w:type="dxa" w:w="1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25%</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Crisis de Infraestructura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Falla prolongada del proveedor cloud principal.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-60% (temporal)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Crítico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-15 pp (temporal)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7. Decisiones Derivadas de las Simulaciones</w:t>
      </w:r>
    </w:p>
    <w:p>
      <w:pPr>
        <w:spacing w:after="120" w:before="80"/>
        <w:jc w:val="both"/>
      </w:pPr>
      <w:r>
        <w:rPr>
          <w:rFonts w:ascii="Arial" w:cs="Arial" w:eastAsia="Arial" w:hAnsi="Arial"/>
          <w:b w:val="false"/>
          <w:bCs w:val="false"/>
          <w:i w:val="false"/>
          <w:iCs w:val="false"/>
          <w:color w:val="1A1A1A"/>
          <w:sz w:val="22"/>
          <w:szCs w:val="22"/>
        </w:rPr>
        <w:t xml:space="preserve">Las simulaciones de AxiaData han generado las siguientes recomendaciones estratégicas directamente accionables para la dirección:</w:t>
      </w:r>
    </w:p>
    <w:p>
      <w:pPr>
        <w:spacing w:after="150" w:before="300"/>
      </w:pPr>
      <w:r>
        <w:rPr>
          <w:rFonts w:ascii="Arial" w:cs="Arial" w:eastAsia="Arial" w:hAnsi="Arial"/>
          <w:b/>
          <w:bCs/>
          <w:color w:val="D4820A"/>
          <w:sz w:val="28"/>
          <w:szCs w:val="28"/>
        </w:rPr>
        <w:t xml:space="preserve">7.1 Recomendaciones por Variable de Negocio</w:t>
      </w:r>
    </w:p>
    <w:p>
      <w:pPr>
        <w:pStyle w:val="ListParagraph"/>
        <w:numPr>
          <w:ilvl w:val="0"/>
          <w:numId w:val="2"/>
        </w:numPr>
        <w:spacing w:after="60" w:before="60"/>
      </w:pPr>
      <w:r>
        <w:rPr>
          <w:rFonts w:ascii="Arial" w:cs="Arial" w:eastAsia="Arial" w:hAnsi="Arial"/>
          <w:color w:val="1A1A1A"/>
          <w:sz w:val="22"/>
          <w:szCs w:val="22"/>
        </w:rPr>
        <w:t xml:space="preserve">V1 — Conversión: Invertir en automatización del seguimiento en etapa Demo→Propuesta. La simulación DES muestra un incremento potencial del 32.8% en cierres con el mismo volumen de leads.</w:t>
      </w:r>
    </w:p>
    <w:p>
      <w:pPr>
        <w:pStyle w:val="ListParagraph"/>
        <w:numPr>
          <w:ilvl w:val="0"/>
          <w:numId w:val="2"/>
        </w:numPr>
        <w:spacing w:after="60" w:before="60"/>
      </w:pPr>
      <w:r>
        <w:rPr>
          <w:rFonts w:ascii="Arial" w:cs="Arial" w:eastAsia="Arial" w:hAnsi="Arial"/>
          <w:color w:val="1A1A1A"/>
          <w:sz w:val="22"/>
          <w:szCs w:val="22"/>
        </w:rPr>
        <w:t xml:space="preserve">V2 — CAC: Reasignar el 40% del presupuesto SEM hacia canales orgánicos y referidos. Reducción proyectada del CAC en 23% manteniendo el volumen de nuevos clientes.</w:t>
      </w:r>
    </w:p>
    <w:p>
      <w:pPr>
        <w:pStyle w:val="ListParagraph"/>
        <w:numPr>
          <w:ilvl w:val="0"/>
          <w:numId w:val="2"/>
        </w:numPr>
        <w:spacing w:after="60" w:before="60"/>
      </w:pPr>
      <w:r>
        <w:rPr>
          <w:rFonts w:ascii="Arial" w:cs="Arial" w:eastAsia="Arial" w:hAnsi="Arial"/>
          <w:color w:val="1A1A1A"/>
          <w:sz w:val="22"/>
          <w:szCs w:val="22"/>
        </w:rPr>
        <w:t xml:space="preserve">V3 — CLV: Implementar programa de onboarding estructurado de 45 días. La dinámica de sistemas muestra correlación directa entre calidad de onboarding y CLV a 24 meses.</w:t>
      </w:r>
    </w:p>
    <w:p>
      <w:pPr>
        <w:pStyle w:val="ListParagraph"/>
        <w:numPr>
          <w:ilvl w:val="0"/>
          <w:numId w:val="2"/>
        </w:numPr>
        <w:spacing w:after="60" w:before="60"/>
      </w:pPr>
      <w:r>
        <w:rPr>
          <w:rFonts w:ascii="Arial" w:cs="Arial" w:eastAsia="Arial" w:hAnsi="Arial"/>
          <w:color w:val="1A1A1A"/>
          <w:sz w:val="22"/>
          <w:szCs w:val="22"/>
        </w:rPr>
        <w:t xml:space="preserve">V4 — Retención: Activar alertas tempranas (mes 3-5) y programa de éxito del cliente. La simulación de agentes muestra recuperación del 34% de los clientes 'at-risk' con intervención proactiva.</w:t>
      </w:r>
    </w:p>
    <w:p>
      <w:pPr>
        <w:pStyle w:val="ListParagraph"/>
        <w:numPr>
          <w:ilvl w:val="0"/>
          <w:numId w:val="2"/>
        </w:numPr>
        <w:spacing w:after="60" w:before="60"/>
      </w:pPr>
      <w:r>
        <w:rPr>
          <w:rFonts w:ascii="Arial" w:cs="Arial" w:eastAsia="Arial" w:hAnsi="Arial"/>
          <w:color w:val="1A1A1A"/>
          <w:sz w:val="22"/>
          <w:szCs w:val="22"/>
        </w:rPr>
        <w:t xml:space="preserve">V5 — Margen: Negociar contratos cloud a largo plazo para estabilizar costos de infraestructura. El Monte Carlo muestra reducción de la varianza del margen en 41%.</w:t>
      </w:r>
    </w:p>
    <w:p>
      <w:pPr>
        <w:pBdr>
          <w:bottom w:val="single" w:color="8C1F28" w:sz="6" w:space="4"/>
        </w:pBdr>
        <w:spacing w:after="150" w:before="300"/>
      </w:pPr>
      <w:r>
        <w:rPr>
          <w:rFonts w:ascii="Arial" w:cs="Arial" w:eastAsia="Arial" w:hAnsi="Arial"/>
          <w:b/>
          <w:bCs/>
          <w:color w:val="8C1F28"/>
          <w:sz w:val="36"/>
          <w:szCs w:val="36"/>
        </w:rPr>
        <w:t xml:space="preserve">8. Resultados y Métricas del Componente de Simulación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Métrica de Calidad</w:t>
            </w:r>
          </w:p>
        </w:tc>
        <w:tc>
          <w:tcPr>
            <w:tcW w:type="dxa" w:w="29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Modelo Monte Carlo V5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Proyección trimestral del Margen Operativo.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MAPE = 4.2%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En producción</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Modelo DES Pipeline V1</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Simulación del embudo comercial con optimización de recursos.</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Error = 6.7%</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En producción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Dinámica de Sistemas V3/V4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Proyección de base de clientes a 24 meses.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R² = 0.94</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En producción</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Optimización Mix Marketing</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Reasignación óptima del presupuesto de marketing.</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CAC -23%</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Implementado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Análisis Escenarios Externos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 escenarios de stress-test con probabilidades estimadas.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Cobertura completa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Documentado</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Informe de Validación</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Backtesting y validación de los 4 modelos principales.</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Todos aprobados</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Completado</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9. Conclusiones y Recomendaciones</w:t>
      </w:r>
    </w:p>
    <w:p>
      <w:pPr>
        <w:spacing w:after="120" w:before="80"/>
        <w:jc w:val="both"/>
      </w:pPr>
      <w:r>
        <w:rPr>
          <w:rFonts w:ascii="Arial" w:cs="Arial" w:eastAsia="Arial" w:hAnsi="Arial"/>
          <w:b w:val="false"/>
          <w:bCs w:val="false"/>
          <w:i w:val="false"/>
          <w:iCs w:val="false"/>
          <w:color w:val="1A1A1A"/>
          <w:sz w:val="22"/>
          <w:szCs w:val="22"/>
        </w:rPr>
        <w:t xml:space="preserve">El componente de Modelado y Simulación agrega una dimensión prospectiva al sistema AxiaData que complementa perfectamente la capacidad retrospectiva de la Minería de Datos. Mientras la minería extrae conocimiento del pasado, la simulación permite explorar futuros posibles y tomar decisiones con mayor confianza.</w:t>
      </w:r>
    </w:p>
    <w:p>
      <w:pPr>
        <w:pStyle w:val="ListParagraph"/>
        <w:numPr>
          <w:ilvl w:val="0"/>
          <w:numId w:val="2"/>
        </w:numPr>
        <w:spacing w:after="60" w:before="60"/>
      </w:pPr>
      <w:r>
        <w:rPr>
          <w:rFonts w:ascii="Arial" w:cs="Arial" w:eastAsia="Arial" w:hAnsi="Arial"/>
          <w:color w:val="1A1A1A"/>
          <w:sz w:val="22"/>
          <w:szCs w:val="22"/>
        </w:rPr>
        <w:t xml:space="preserve">Los cuatro modelos de simulación desarrollados superaron los criterios de validación establecidos, confirmando su utilidad para la toma de decisiones en producción.</w:t>
      </w:r>
    </w:p>
    <w:p>
      <w:pPr>
        <w:pStyle w:val="ListParagraph"/>
        <w:numPr>
          <w:ilvl w:val="0"/>
          <w:numId w:val="2"/>
        </w:numPr>
        <w:spacing w:after="60" w:before="60"/>
      </w:pPr>
      <w:r>
        <w:rPr>
          <w:rFonts w:ascii="Arial" w:cs="Arial" w:eastAsia="Arial" w:hAnsi="Arial"/>
          <w:color w:val="1A1A1A"/>
          <w:sz w:val="22"/>
          <w:szCs w:val="22"/>
        </w:rPr>
        <w:t xml:space="preserve">La combinación de Monte Carlo y optimización matemática para el margen operativo (V5) representa el caso de uso más maduro, con reducción demostrable de la varianza de resultados.</w:t>
      </w:r>
    </w:p>
    <w:p>
      <w:pPr>
        <w:pStyle w:val="ListParagraph"/>
        <w:numPr>
          <w:ilvl w:val="0"/>
          <w:numId w:val="2"/>
        </w:numPr>
        <w:spacing w:after="60" w:before="60"/>
      </w:pPr>
      <w:r>
        <w:rPr>
          <w:rFonts w:ascii="Arial" w:cs="Arial" w:eastAsia="Arial" w:hAnsi="Arial"/>
          <w:color w:val="1A1A1A"/>
          <w:sz w:val="22"/>
          <w:szCs w:val="22"/>
        </w:rPr>
        <w:t xml:space="preserve">La dinámica de sistemas evidencia que pequeñas mejoras en retención (V4) tienen efectos exponenciales en la base de clientes a largo plazo, lo que justifica la inversión en programas de éxito del cliente.</w:t>
      </w:r>
    </w:p>
    <w:p>
      <w:pPr>
        <w:pStyle w:val="ListParagraph"/>
        <w:numPr>
          <w:ilvl w:val="0"/>
          <w:numId w:val="2"/>
        </w:numPr>
        <w:spacing w:after="60" w:before="60"/>
      </w:pPr>
      <w:r>
        <w:rPr>
          <w:rFonts w:ascii="Arial" w:cs="Arial" w:eastAsia="Arial" w:hAnsi="Arial"/>
          <w:color w:val="1A1A1A"/>
          <w:sz w:val="22"/>
          <w:szCs w:val="22"/>
        </w:rPr>
        <w:t xml:space="preserve">Se recomienda evolucionar los modelos DES hacia simulación basada en datos en tiempo real (event-streaming), usando Apache Kafka como fuente de eventos del pipeline comercial.</w:t>
      </w:r>
    </w:p>
    <w:p>
      <w:pPr>
        <w:pStyle w:val="ListParagraph"/>
        <w:numPr>
          <w:ilvl w:val="0"/>
          <w:numId w:val="2"/>
        </w:numPr>
        <w:spacing w:after="60" w:before="60"/>
      </w:pPr>
      <w:r>
        <w:rPr>
          <w:rFonts w:ascii="Arial" w:cs="Arial" w:eastAsia="Arial" w:hAnsi="Arial"/>
          <w:color w:val="1A1A1A"/>
          <w:sz w:val="22"/>
          <w:szCs w:val="22"/>
        </w:rPr>
        <w:t xml:space="preserve">La integración con el dashboard ejecutivo de AxiaData permite que los directivos ejecuten escenarios 'what-if' de forma autónoma, democratizando el acceso a la capacidad de simulación.</w:t>
      </w:r>
    </w:p>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10. Referencias Bibliográficas</w:t>
      </w:r>
    </w:p>
    <w:p>
      <w:pPr>
        <w:spacing w:after="120" w:before="80"/>
        <w:jc w:val="both"/>
      </w:pPr>
      <w:r>
        <w:rPr>
          <w:rFonts w:ascii="Arial" w:cs="Arial" w:eastAsia="Arial" w:hAnsi="Arial"/>
          <w:b w:val="false"/>
          <w:bCs w:val="false"/>
          <w:i/>
          <w:iCs/>
          <w:color w:val="1A1A1A"/>
          <w:sz w:val="22"/>
          <w:szCs w:val="22"/>
        </w:rPr>
        <w:t xml:space="preserve">Banks, J., Carson, J., Nelson, B., &amp; Nicol, D. (2010). Discrete-Event System Simulation (5th ed.). Pearson.</w:t>
      </w:r>
    </w:p>
    <w:p>
      <w:pPr>
        <w:spacing w:after="120" w:before="80"/>
        <w:jc w:val="both"/>
      </w:pPr>
      <w:r>
        <w:rPr>
          <w:rFonts w:ascii="Arial" w:cs="Arial" w:eastAsia="Arial" w:hAnsi="Arial"/>
          <w:b w:val="false"/>
          <w:bCs w:val="false"/>
          <w:i/>
          <w:iCs/>
          <w:color w:val="1A1A1A"/>
          <w:sz w:val="22"/>
          <w:szCs w:val="22"/>
        </w:rPr>
        <w:t xml:space="preserve">Law, A. M. (2015). Simulation Modeling and Analysis (5th ed.). McGraw-Hill.</w:t>
      </w:r>
    </w:p>
    <w:p>
      <w:pPr>
        <w:spacing w:after="120" w:before="80"/>
        <w:jc w:val="both"/>
      </w:pPr>
      <w:r>
        <w:rPr>
          <w:rFonts w:ascii="Arial" w:cs="Arial" w:eastAsia="Arial" w:hAnsi="Arial"/>
          <w:b w:val="false"/>
          <w:bCs w:val="false"/>
          <w:i/>
          <w:iCs/>
          <w:color w:val="1A1A1A"/>
          <w:sz w:val="22"/>
          <w:szCs w:val="22"/>
        </w:rPr>
        <w:t xml:space="preserve">Sterman, J. D. (2000). Business Dynamics: Systems Thinking and Modeling for a Complex World. McGraw-Hill.</w:t>
      </w:r>
    </w:p>
    <w:p>
      <w:pPr>
        <w:spacing w:after="120" w:before="80"/>
        <w:jc w:val="both"/>
      </w:pPr>
      <w:r>
        <w:rPr>
          <w:rFonts w:ascii="Arial" w:cs="Arial" w:eastAsia="Arial" w:hAnsi="Arial"/>
          <w:b w:val="false"/>
          <w:bCs w:val="false"/>
          <w:i/>
          <w:iCs/>
          <w:color w:val="1A1A1A"/>
          <w:sz w:val="22"/>
          <w:szCs w:val="22"/>
        </w:rPr>
        <w:t xml:space="preserve">Glasserman, P. (2003). Monte Carlo Methods in Financial Engineering. Springer.</w:t>
      </w:r>
    </w:p>
    <w:p>
      <w:pPr>
        <w:spacing w:after="120" w:before="80"/>
        <w:jc w:val="both"/>
      </w:pPr>
      <w:r>
        <w:rPr>
          <w:rFonts w:ascii="Arial" w:cs="Arial" w:eastAsia="Arial" w:hAnsi="Arial"/>
          <w:b w:val="false"/>
          <w:bCs w:val="false"/>
          <w:i/>
          <w:iCs/>
          <w:color w:val="1A1A1A"/>
          <w:sz w:val="22"/>
          <w:szCs w:val="22"/>
        </w:rPr>
        <w:t xml:space="preserve">Kelton, W. D., Sadowski, R. P., &amp; Zupick, N. B. (2015). Simulation with Arena (6th ed.). McGraw-Hill.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820A" w:sz="4" w:space="4"/>
      </w:pBdr>
      <w:tabs>
        <w:tab w:val="right" w:pos="9360"/>
      </w:tabs>
    </w:pPr>
    <w:r>
      <w:rPr>
        <w:rFonts w:ascii="Arial" w:cs="Arial" w:eastAsia="Arial" w:hAnsi="Arial"/>
        <w:color w:val="7A7A7A"/>
        <w:sz w:val="18"/>
        <w:szCs w:val="18"/>
      </w:rPr>
      <w:t xml:space="preserve">Modelado y Simulación — Docente: Jorge Ismael Medina Plaza</w:t>
    </w:r>
    <w:r>
      <w:rPr>
        <w:rFonts w:ascii="Arial" w:cs="Arial" w:eastAsia="Arial" w:hAnsi="Arial"/>
        <w:sz w:val="18"/>
        <w:szCs w:val="18"/>
      </w:rPr>
      <w:t xml:space="preserve">	</w:t>
    </w:r>
    <w:r>
      <w:rPr>
        <w:rFonts w:ascii="Arial" w:cs="Arial" w:eastAsia="Arial" w:hAnsi="Arial"/>
        <w:color w:val="7A7A7A"/>
        <w:sz w:val="18"/>
        <w:szCs w:val="18"/>
      </w:rPr>
      <w:t xml:space="preserve">Pág.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1F28" w:sz="6" w:space="4"/>
      </w:pBdr>
    </w:pPr>
    <w:r>
      <w:rPr>
        <w:rFonts w:ascii="Arial" w:cs="Arial" w:eastAsia="Arial" w:hAnsi="Arial"/>
        <w:b/>
        <w:bCs/>
        <w:color w:val="8C1F28"/>
        <w:sz w:val="18"/>
        <w:szCs w:val="18"/>
      </w:rPr>
      <w:t xml:space="preserve">FUNDACIÓN UNIVERSITARIA SAN MATEO  |  X Semestre — Grupo 01N31</w:t>
    </w:r>
    <w:r>
      <w:rPr>
        <w:rFonts w:ascii="Arial" w:cs="Arial" w:eastAsia="Arial" w:hAnsi="Arial"/>
        <w:color w:val="7A7A7A"/>
        <w:sz w:val="18"/>
        <w:szCs w:val="18"/>
      </w:rPr>
      <w:t xml:space="preserve">  AxiaData — Sistema Inteligente para la Toma de Decisiones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2026-05-06T03:29:04.886Z</dcterms:created>
  <dcterms:modified xsi:type="dcterms:W3CDTF">2026-05-06T03:29:04.886Z</dcterms:modified>
</cp:coreProperties>
</file>

<file path=docProps/custom.xml><?xml version="1.0" encoding="utf-8"?>
<Properties xmlns="http://schemas.openxmlformats.org/officeDocument/2006/custom-properties" xmlns:vt="http://schemas.openxmlformats.org/officeDocument/2006/docPropsVTypes"/>
</file>