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8C1F28"/>
          <w:sz w:val="30"/>
          <w:szCs w:val="30"/>
        </w:rPr>
        <w:t xml:space="preserve">FUNDACIÓN UNIVERSITARIA SAN MATEO</w:t>
      </w:r>
    </w:p>
    <w:p>
      <w:pPr>
        <w:spacing w:after="200" w:before="60"/>
        <w:jc w:val="center"/>
      </w:pPr>
      <w:r>
        <w:rPr>
          <w:rFonts w:ascii="Arial" w:cs="Arial" w:eastAsia="Arial" w:hAnsi="Arial"/>
          <w:i/>
          <w:iCs/>
          <w:color w:val="7A7A7A"/>
          <w:sz w:val="24"/>
          <w:szCs w:val="24"/>
        </w:rPr>
        <w:t xml:space="preserve">Programa de Ingeniería de Sistemas</w:t>
      </w:r>
    </w:p>
    <w:p>
      <w:pPr>
        <w:pBdr>
          <w:top w:val="single" w:color="D4820A" w:sz="8"/>
          <w:bottom w:val="single" w:color="D4820A" w:sz="8"/>
        </w:pBdr>
        <w:spacing w:after="200" w:before="200"/>
        <w:jc w:val="center"/>
      </w:pPr>
      <w:r>
        <w:rPr>
          <w:rFonts w:ascii="Arial" w:cs="Arial" w:eastAsia="Arial" w:hAnsi="Arial"/>
          <w:b/>
          <w:bCs/>
          <w:color w:val="8C1F28"/>
          <w:sz w:val="46"/>
          <w:szCs w:val="46"/>
        </w:rPr>
        <w:t xml:space="preserve">ELECTIVA VI</w:t>
      </w:r>
    </w:p>
    <w:p>
      <w:pPr>
        <w:spacing w:after="60" w:before="60"/>
        <w:jc w:val="center"/>
      </w:pPr>
      <w:r>
        <w:rPr>
          <w:rFonts w:ascii="Arial" w:cs="Arial" w:eastAsia="Arial" w:hAnsi="Arial"/>
          <w:b/>
          <w:bCs/>
          <w:color w:val="1A1A1A"/>
          <w:sz w:val="30"/>
          <w:szCs w:val="30"/>
        </w:rPr>
        <w:t xml:space="preserve">Estrategia Digital y Transformación Tecnológica</w:t>
      </w:r>
    </w:p>
    <w:p>
      <w:pPr>
        <w:spacing w:after="60" w:before="60"/>
        <w:jc w:val="center"/>
      </w:pPr>
      <w:r>
        <w:rPr>
          <w:rFonts w:ascii="Arial" w:cs="Arial" w:eastAsia="Arial" w:hAnsi="Arial"/>
          <w:i/>
          <w:iCs/>
          <w:color w:val="D4820A"/>
          <w:sz w:val="24"/>
          <w:szCs w:val="24"/>
        </w:rPr>
        <w:t xml:space="preserve">KPIs, Roadmap y Plan de Gestión del Cambio — AxiaData</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1A1A1A"/>
          <w:sz w:val="22"/>
          <w:szCs w:val="22"/>
        </w:rPr>
        <w:t xml:space="preserve">Docente: Edinson Leonardo Martínez Palencia</w:t>
      </w:r>
    </w:p>
    <w:p>
      <w:pPr>
        <w:spacing w:after="40" w:before="40"/>
        <w:jc w:val="center"/>
      </w:pPr>
      <w:r>
        <w:rPr>
          <w:rFonts w:ascii="Arial" w:cs="Arial" w:eastAsia="Arial" w:hAnsi="Arial"/>
          <w:color w:val="7A7A7A"/>
          <w:sz w:val="22"/>
          <w:szCs w:val="22"/>
        </w:rPr>
        <w:t xml:space="preserve">Coordinador: Edward Reyes Corredor</w:t>
      </w:r>
    </w:p>
    <w:p>
      <w:pPr>
        <w:spacing w:after="80" w:before="40"/>
        <w:jc w:val="center"/>
      </w:pPr>
      <w:r>
        <w:rPr>
          <w:rFonts w:ascii="Arial" w:cs="Arial" w:eastAsia="Arial" w:hAnsi="Arial"/>
          <w:color w:val="7A7A7A"/>
          <w:sz w:val="22"/>
          <w:szCs w:val="22"/>
        </w:rPr>
        <w:t xml:space="preserve">X Semestre  |  Grupo 01N31  |  Bogotá, 2025</w:t>
      </w:r>
    </w:p>
    <w:p>
      <w:pPr>
        <w:spacing w:after="80" w:before="80"/>
      </w:pPr>
      <w:r>
        <w:t xml:space="preserve"/>
      </w:r>
    </w:p>
    <w:p>
      <w:pPr>
        <w:spacing w:after="80" w:before="80"/>
      </w:pPr>
      <w:r>
        <w:t xml:space="preserve"/>
      </w:r>
    </w:p>
    <w:p>
      <w:pPr>
        <w:jc w:val="center"/>
      </w:pPr>
      <w:r>
        <w:rPr>
          <w:rFonts w:ascii="Arial" w:cs="Arial" w:eastAsia="Arial" w:hAnsi="Arial"/>
          <w:b/>
          <w:bCs/>
          <w:color w:val="8C1F28"/>
          <w:sz w:val="22"/>
          <w:szCs w:val="22"/>
        </w:rPr>
        <w:t xml:space="preserve">Equipo AxiaData — Grupo 1</w:t>
      </w:r>
    </w:p>
    <w:p>
      <w:pPr>
        <w:jc w:val="center"/>
      </w:pPr>
      <w:r>
        <w:rPr>
          <w:rFonts w:ascii="Arial" w:cs="Arial" w:eastAsia="Arial" w:hAnsi="Arial"/>
          <w:color w:val="1A1A1A"/>
          <w:sz w:val="22"/>
          <w:szCs w:val="22"/>
        </w:rPr>
        <w:t xml:space="preserve">Brayan Prieto  |  Integrante 2  |  Integrante 3</w:t>
      </w:r>
    </w:p>
    <w:p>
      <w:r>
        <w:br w:type="page"/>
      </w:r>
    </w:p>
    <w:p>
      <w:pPr>
        <w:pBdr>
          <w:bottom w:val="single" w:color="8C1F28" w:sz="6" w:space="4"/>
        </w:pBdr>
        <w:spacing w:after="150" w:before="300"/>
      </w:pPr>
      <w:r>
        <w:rPr>
          <w:rFonts w:ascii="Arial" w:cs="Arial" w:eastAsia="Arial" w:hAnsi="Arial"/>
          <w:b/>
          <w:bCs/>
          <w:color w:val="8C1F28"/>
          <w:sz w:val="36"/>
          <w:szCs w:val="36"/>
        </w:rPr>
        <w:t xml:space="preserve">1. Estrategia Digital de AxiaData</w:t>
      </w:r>
    </w:p>
    <w:p>
      <w:pPr>
        <w:spacing w:after="120" w:before="80"/>
        <w:jc w:val="both"/>
      </w:pPr>
      <w:r>
        <w:rPr>
          <w:rFonts w:ascii="Arial" w:cs="Arial" w:eastAsia="Arial" w:hAnsi="Arial"/>
          <w:b w:val="false"/>
          <w:bCs w:val="false"/>
          <w:i w:val="false"/>
          <w:iCs w:val="false"/>
          <w:color w:val="1A1A1A"/>
          <w:sz w:val="22"/>
          <w:szCs w:val="22"/>
        </w:rPr>
        <w:t xml:space="preserve">La Estrategia Digital de AxiaData define el marco de referencia bajo el cual la organización planifica, ejecuta y mide su proceso de transformación tecnológica. Esta estrategia está diseñada para alinear las capacidades del sistema inteligente de datos con los objetivos estratégicos del negocio, garantizando que la tecnología sea un habilitador de valor real y no un fin en sí misma.</w:t>
      </w:r>
    </w:p>
    <w:p>
      <w:pPr>
        <w:spacing w:after="150" w:before="300"/>
      </w:pPr>
      <w:r>
        <w:rPr>
          <w:rFonts w:ascii="Arial" w:cs="Arial" w:eastAsia="Arial" w:hAnsi="Arial"/>
          <w:b/>
          <w:bCs/>
          <w:color w:val="D4820A"/>
          <w:sz w:val="28"/>
          <w:szCs w:val="28"/>
        </w:rPr>
        <w:t xml:space="preserve">1.1 Misión, Visión y Objetivos Estratégicos Digitales</w:t>
      </w:r>
    </w:p>
    <w:p>
      <w:pPr>
        <w:spacing w:after="120" w:before="80"/>
        <w:jc w:val="both"/>
      </w:pPr>
      <w:r>
        <w:rPr>
          <w:rFonts w:ascii="Arial" w:cs="Arial" w:eastAsia="Arial" w:hAnsi="Arial"/>
          <w:b w:val="false"/>
          <w:bCs w:val="false"/>
          <w:i w:val="false"/>
          <w:iCs w:val="false"/>
          <w:color w:val="1A1A1A"/>
          <w:sz w:val="22"/>
          <w:szCs w:val="22"/>
        </w:rPr>
        <w:t xml:space="preserve">Misión Digital: Democratizar el acceso a la inteligencia de datos en las organizaciones, dotando a los tomadores de decisión de información oportuna, confiable y accionable a través del sistema AxiaData.</w:t>
      </w:r>
    </w:p>
    <w:p>
      <w:pPr>
        <w:spacing w:after="120" w:before="80"/>
        <w:jc w:val="both"/>
      </w:pPr>
      <w:r>
        <w:rPr>
          <w:rFonts w:ascii="Arial" w:cs="Arial" w:eastAsia="Arial" w:hAnsi="Arial"/>
          <w:b w:val="false"/>
          <w:bCs w:val="false"/>
          <w:i w:val="false"/>
          <w:iCs w:val="false"/>
          <w:color w:val="1A1A1A"/>
          <w:sz w:val="22"/>
          <w:szCs w:val="22"/>
        </w:rPr>
        <w:t xml:space="preserve">Visión Digital (2027): Ser la plataforma de referencia en Colombia para la toma de decisiones basadas en datos, reconocida por su rigor técnico, transparencia ética y capacidad de transformar organizaciones.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760"/>
      </w:tblGrid>
      <w:tr>
        <w:trPr>
          <w:tblHeader/>
        </w:trPr>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Objetivo Estratégico</w:t>
            </w:r>
          </w:p>
        </w:tc>
        <w:tc>
          <w:tcPr>
            <w:tcW w:type="dxa" w:w="2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Alineación con Variables de Negocio</w:t>
            </w:r>
          </w:p>
        </w:tc>
        <w:tc>
          <w:tcPr>
            <w:tcW w:type="dxa" w:w="1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Horizonte</w:t>
            </w:r>
          </w:p>
        </w:tc>
        <w:tc>
          <w:tcPr>
            <w:tcW w:type="dxa" w:w="37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OKR Principal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OE1 — Maximizar la tasa de adopción del sistema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 Conversión, V4 — Retención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2025-Q3</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Alcanzar 80% de usuarios activos diarios entre los licenciados.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OE2 — Reducir el costo de adquisición y onboarding</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V2 — CAC</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2025-Q4</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Reducir CAC en 25% mediante automatización del onboarding.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OE3 — Incrementar el valor entregado por cliente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 — CLV</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2026-Q1</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Aumentar CLV promedio en 40% mediante módulos premium de IA.</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OE4 — Fortalecer la retención con IA proactiva</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 — Retención</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2025-Q4</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Elevar tasa de retención anual al 92% con modelo predictivo activo.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OE5 — Escalar la rentabilidad operativa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V5 — Margen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2026-Q2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Alcanzar margen operativo sostenido ≥ 20% con infraestructura optimizada.</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2. Análisis de Tecnologías Emergentes</w:t>
      </w:r>
    </w:p>
    <w:p>
      <w:pPr>
        <w:spacing w:after="120" w:before="80"/>
        <w:jc w:val="both"/>
      </w:pPr>
      <w:r>
        <w:rPr>
          <w:rFonts w:ascii="Arial" w:cs="Arial" w:eastAsia="Arial" w:hAnsi="Arial"/>
          <w:b w:val="false"/>
          <w:bCs w:val="false"/>
          <w:i w:val="false"/>
          <w:iCs w:val="false"/>
          <w:color w:val="1A1A1A"/>
          <w:sz w:val="22"/>
          <w:szCs w:val="22"/>
        </w:rPr>
        <w:t xml:space="preserve">AxiaData fundamenta su stack tecnológico en un análisis riguroso de tecnologías emergentes, evaluadas según su madurez (Gartner Hype Cycle), alineación con los objetivos estratégicos y ROI proyectado.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1600"/>
        <w:gridCol w:w="17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Madurez (Hype Cycle)</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Relevancia para AxiaData</w:t>
            </w:r>
          </w:p>
        </w:tc>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Variables Impactadas</w:t>
            </w:r>
          </w:p>
        </w:tc>
        <w:tc>
          <w:tcPr>
            <w:tcW w:type="dxa" w:w="17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Estado en Proyecto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Inteligencia Artificial / ML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Slope of Enlightenment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Núcleo del sistema: modelos predictivos y prescriptivos.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V2, V3, V4, V5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 producción</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Datalake / Data Lakehouse</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Plateau of Productivity</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Arquitectura de almacenamiento del proyecto. Unifica ML y BI.</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Todas</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En producción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LLMs (Large Language Models)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Peak of Expectations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Consultas en lenguaje natural sobre el datalake. Reportes automáticos.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 V4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 desarrollo</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MLOps / ModelOps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Early Majority</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Automatización del ciclo de vida de modelos ML en producción.</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Todas</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En implementación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Edge Computing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Early Majority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Procesamiento de datos en la fuente (IoT, dispositivos de campo).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V5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Roadmap 2026</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Computación Cuántica</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Innovation Trigger</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Optimización de portafolios y problemas NP-Hard en el futuro.</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V5</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Roadmap 2028+</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Synthetic Data Generation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Early Adopter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Generación de datos artificiales para entrenar modelos sin exponer PII.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Ética, V4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Piloto 2025-Q4</w:t>
            </w:r>
          </w:p>
        </w:tc>
      </w:tr>
    </w:tbl>
    <w:p>
      <w:pPr>
        <w:spacing w:after="80" w:before="80"/>
      </w:pPr>
      <w:r>
        <w:t xml:space="preserve"/>
      </w:r>
    </w:p>
    <w:p>
      <w:pPr>
        <w:spacing w:after="120" w:before="80"/>
        <w:jc w:val="both"/>
      </w:pPr>
      <w:r>
        <w:rPr>
          <w:rFonts w:ascii="Arial" w:cs="Arial" w:eastAsia="Arial" w:hAnsi="Arial"/>
          <w:b w:val="false"/>
          <w:bCs w:val="false"/>
          <w:i w:val="false"/>
          <w:iCs w:val="false"/>
          <w:color w:val="1A1A1A"/>
          <w:sz w:val="22"/>
          <w:szCs w:val="22"/>
        </w:rPr>
        <w:t xml:space="preserve">Justificación de la selección tecnológica: La arquitectura de AxiaData prioriza tecnologías en el cuadrante 'Plateau of Productivity' para el núcleo productivo (confiables, maduras, con ROI probado), mientras ubica tecnologías en etapas más tempranas en el roadmap como inversiones de innovación a mediano plazo.</w:t>
      </w:r>
    </w:p>
    <w:p>
      <w:pPr>
        <w:pBdr>
          <w:bottom w:val="single" w:color="8C1F28" w:sz="6" w:space="4"/>
        </w:pBdr>
        <w:spacing w:after="150" w:before="300"/>
      </w:pPr>
      <w:r>
        <w:rPr>
          <w:rFonts w:ascii="Arial" w:cs="Arial" w:eastAsia="Arial" w:hAnsi="Arial"/>
          <w:b/>
          <w:bCs/>
          <w:color w:val="8C1F28"/>
          <w:sz w:val="36"/>
          <w:szCs w:val="36"/>
        </w:rPr>
        <w:t xml:space="preserve">3. KPIs de Transformación Digital — Alineados a las 5 Variables de Negocio</w:t>
      </w:r>
    </w:p>
    <w:p>
      <w:pPr>
        <w:spacing w:after="120" w:before="80"/>
        <w:jc w:val="both"/>
      </w:pPr>
      <w:r>
        <w:rPr>
          <w:rFonts w:ascii="Arial" w:cs="Arial" w:eastAsia="Arial" w:hAnsi="Arial"/>
          <w:b w:val="false"/>
          <w:bCs w:val="false"/>
          <w:i w:val="false"/>
          <w:iCs w:val="false"/>
          <w:color w:val="1A1A1A"/>
          <w:sz w:val="22"/>
          <w:szCs w:val="22"/>
        </w:rPr>
        <w:t xml:space="preserve">Los Indicadores Clave de Rendimiento (KPIs) de AxiaData están diseñados para medir simultáneamente el impacto de la transformación digital y el desempeño de las cinco variables estratégicas de negocio. Cada KPI tiene: definición precisa, fórmula de cálculo, frecuencia de medición, umbral de alerta y responsable.</w:t>
      </w:r>
    </w:p>
    <w:p>
      <w:pPr>
        <w:spacing w:after="80" w:before="80"/>
      </w:pPr>
      <w:r>
        <w:t xml:space="preserve"/>
      </w:r>
    </w:p>
    <w:p>
      <w:pPr>
        <w:shd w:fill="8C1F28" w:val="clear"/>
        <w:spacing w:after="80" w:before="200"/>
      </w:pPr>
      <w:r>
        <w:rPr>
          <w:rFonts w:ascii="Arial" w:cs="Arial" w:eastAsia="Arial" w:hAnsi="Arial"/>
          <w:b/>
          <w:bCs/>
          <w:color w:val="FFFFFF"/>
          <w:sz w:val="24"/>
          <w:szCs w:val="24"/>
        </w:rPr>
        <w:t xml:space="preserve">  VARIABLE V1 — TASA DE CONVERSIÓN DE VENTAS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900"/>
        <w:gridCol w:w="900"/>
        <w:gridCol w:w="11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11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KPI-1.1 Tasa Conversión Global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leads que se convierten en clientes pagos.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 Cerrados / Total Leads) × 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18%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Dir. Comercial</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KPI-1.2 Tasa Conversión por Canal</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Conversión segmentada por canal de adquisición.</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(Cierres Canal_i / Leads Canal_i) × 100</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Canal digital ≥ 25%</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1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Mkt Digital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KPI-1.3 Tiempo Promedio de Cierre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Días promedio desde lead hasta firma del contrato.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Σ(Días cierre_i) / N_cierres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21 días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Gerencia Comercial</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KPI-1.4 Efectividad de Demo</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de demos que resultan en propuesta comercial.</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(Demos con Propuesta / Total Demos) × 100</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65%</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1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Equipo PreSales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KPI-1.5 Predicción vs. Real (ML)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Accuracy del modelo predictivo de conversión.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(Predicciones Correctas / Total Predicciones) × 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AUC-ROC ≥ 0.85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 Science</w:t>
            </w:r>
          </w:p>
        </w:tc>
      </w:tr>
    </w:tbl>
    <w:p>
      <w:pPr>
        <w:spacing w:after="80" w:before="80"/>
      </w:pPr>
      <w:r>
        <w:t xml:space="preserve"/>
      </w:r>
    </w:p>
    <w:p>
      <w:pPr>
        <w:shd w:fill="8C1F28" w:val="clear"/>
        <w:spacing w:after="80" w:before="200"/>
      </w:pPr>
      <w:r>
        <w:rPr>
          <w:rFonts w:ascii="Arial" w:cs="Arial" w:eastAsia="Arial" w:hAnsi="Arial"/>
          <w:b/>
          <w:bCs/>
          <w:color w:val="FFFFFF"/>
          <w:sz w:val="24"/>
          <w:szCs w:val="24"/>
        </w:rPr>
        <w:t xml:space="preserve">  VARIABLE V2 — COSTO DE ADQUISICIÓN DE CLIENTE (CAC)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1400"/>
        <w:gridCol w:w="900"/>
        <w:gridCol w:w="6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1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6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KPI-2.1 CAC Global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Inversión total para adquirir un nuevo cliente.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Inversión Total Adquisición / Nuevos Clientes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$1,200 USD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CFO / CMO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KPI-2.2 CAC por Canal</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Costo de adquisición segmentado por canal.</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Gasto Canal_i / Clientes Nuevos Canal_i</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SEM ≤ $2,000; Referidos ≤ $500</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Mkt Digital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KPI-2.3 Ratio CLV/CAC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Relación entre el valor de vida y el costo de adquisición.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CLV Promedio / CAC Global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3.5x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CFO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KPI-2.4 Período de Recuperación</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Meses necesarios para recuperar el CAC con ingresos del cliente.</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CAC / (ARPU Mensual × Margen Bruto)</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6 meses</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CFO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KPI-2.5 Eficiencia del Embudo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Tasa de conversión ponderada por el costo de cada etapa.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Σ(Conversión_etapa_i × Costo_etapa_i) / CAC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Mejora ≥ 5% trimestral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Ops Comercial</w:t>
            </w:r>
          </w:p>
        </w:tc>
      </w:tr>
    </w:tbl>
    <w:p>
      <w:pPr>
        <w:spacing w:after="80" w:before="80"/>
      </w:pPr>
      <w:r>
        <w:t xml:space="preserve"/>
      </w:r>
    </w:p>
    <w:p>
      <w:pPr>
        <w:shd w:fill="8C1F28" w:val="clear"/>
        <w:spacing w:after="80" w:before="200"/>
      </w:pPr>
      <w:r>
        <w:rPr>
          <w:rFonts w:ascii="Arial" w:cs="Arial" w:eastAsia="Arial" w:hAnsi="Arial"/>
          <w:b/>
          <w:bCs/>
          <w:color w:val="FFFFFF"/>
          <w:sz w:val="24"/>
          <w:szCs w:val="24"/>
        </w:rPr>
        <w:t xml:space="preserve">  VARIABLE V3 — VALOR DE VIDA DEL CLIENTE (CLV)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1200"/>
        <w:gridCol w:w="900"/>
        <w:gridCol w:w="8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8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KPI-3.1 CLV Promedio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Ingreso neto esperado durante la relación comercial.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ARPU × Margen Bruto (%) × Meses Relación Promedio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$8,500 USD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CFO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KPI-3.2 Expansión de Ingresos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Crecimiento de ingresos en clientes existentes (upsell/cross-sell).</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(Ingresos Actuales − Ingresos Iniciales) / Ingresos Iniciales</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15% anual</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KPI-3.3 NPS (Net Promoter Score)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Probabilidad de que el cliente recomiende AxiaData.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Promotores − % Detractores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55 puntos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Experiencia Cliente</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KPI-3.4 CSAT (Satisfacción)</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Satisfacción del cliente con el sistema y el servicio.</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Σ(Puntuaciones) / N_encuestas × 10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8.5/10</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KPI-3.5 Ratio Upselling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clientes que aceptan propuestas de expansión.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 con Upsell / Total Clientes Activos)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25%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Ventas</w:t>
            </w:r>
          </w:p>
        </w:tc>
      </w:tr>
    </w:tbl>
    <w:p>
      <w:pPr>
        <w:spacing w:after="80" w:before="80"/>
      </w:pPr>
      <w:r>
        <w:t xml:space="preserve"/>
      </w:r>
    </w:p>
    <w:p>
      <w:pPr>
        <w:shd w:fill="8C1F28" w:val="clear"/>
        <w:spacing w:after="80" w:before="200"/>
      </w:pPr>
      <w:r>
        <w:rPr>
          <w:rFonts w:ascii="Arial" w:cs="Arial" w:eastAsia="Arial" w:hAnsi="Arial"/>
          <w:b/>
          <w:bCs/>
          <w:color w:val="FFFFFF"/>
          <w:sz w:val="24"/>
          <w:szCs w:val="24"/>
        </w:rPr>
        <w:t xml:space="preserve">  VARIABLE V4 — TASA DE RETENCIÓN DE CLIENTES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200"/>
        <w:gridCol w:w="900"/>
        <w:gridCol w:w="8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8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KPI-4.1 Tasa de Retención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clientes que permanecen activos mes a mes.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((Clientes_fin − Clientes_nuevos) / Clientes_inicio)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92%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KPI-4.2 Tasa de Churn</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de clientes que cancelaron en el período.</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(Clientes que Cancelaron / Clientes Inicio) × 100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3%</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KPI-4.3 Alertas Proactivas Atendidas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alertas de churn del modelo ML que recibieron intervención.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(Alertas Atendidas / Total Alertas)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90%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Semanal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KPI-4.4 Tasa de Recuperación</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de clientes 'at-risk' retenidos tras intervención.</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(Clientes AR Retenidos / Clientes AR Totales) × 100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35%</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Customer Success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KPI-4.5 Tiempo Medio entre Fallos (MTTR)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Tiempo promedio que tarda el sistema en resolver un incidente que afecta clientes.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Σ(Tiempo_resolución) / N_incidentes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4 horas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 de Plataforma</w:t>
            </w:r>
          </w:p>
        </w:tc>
      </w:tr>
    </w:tbl>
    <w:p>
      <w:pPr>
        <w:spacing w:after="80" w:before="80"/>
      </w:pPr>
      <w:r>
        <w:t xml:space="preserve"/>
      </w:r>
    </w:p>
    <w:p>
      <w:pPr>
        <w:shd w:fill="8C1F28" w:val="clear"/>
        <w:spacing w:after="80" w:before="200"/>
      </w:pPr>
      <w:r>
        <w:rPr>
          <w:rFonts w:ascii="Arial" w:cs="Arial" w:eastAsia="Arial" w:hAnsi="Arial"/>
          <w:b/>
          <w:bCs/>
          <w:color w:val="FFFFFF"/>
          <w:sz w:val="24"/>
          <w:szCs w:val="24"/>
        </w:rPr>
        <w:t xml:space="preserve">  VARIABLE V5 — MARGEN DE RENTABILIDAD OPERATIVA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200"/>
        <w:gridCol w:w="900"/>
        <w:gridCol w:w="8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8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KPI-5.1 Margen Operativo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utilidad operativa sobre ingresos totales.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(Utilidad Operativa / Ingresos Totales)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20%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CFO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KPI-5.2 Costo de Infraestructura / Ingreso</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del ingreso consumido por costos de cloud y servidores.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(Costos Infraestructura / Ingresos) × 100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15%</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CTO / CFO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KPI-5.3 Ratio de Eficiencia Operativa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Ingresos generados por cada unidad de costo operativo.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Ingresos Totales / Costos Operativos Totales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1.25x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CFO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KPI-5.4 MRR (Monthly Recurring Revenue)</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Ingresos recurrentes mensuales de suscripciones activas.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Σ(MRR de clientes activos en el período)</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Crecimiento ≥ 8% MoM</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8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CFO / CEO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KPI-5.5 Tasa de Automatización de Procesos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procesos operativos que están automatizados vs. manuales.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(Procesos Automatizados / Total Procesos)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COO / CTO</w:t>
            </w:r>
          </w:p>
        </w:tc>
      </w:tr>
    </w:tbl>
    <w:p>
      <w:pPr>
        <w:spacing w:after="80" w:before="80"/>
      </w:pPr>
      <w:r>
        <w:t xml:space="preserve"/>
      </w:r>
    </w:p>
    <w:p>
      <w:pPr>
        <w:spacing w:after="150" w:before="300"/>
      </w:pPr>
      <w:r>
        <w:rPr>
          <w:rFonts w:ascii="Arial" w:cs="Arial" w:eastAsia="Arial" w:hAnsi="Arial"/>
          <w:b/>
          <w:bCs/>
          <w:color w:val="D4820A"/>
          <w:sz w:val="28"/>
          <w:szCs w:val="28"/>
        </w:rPr>
        <w:t xml:space="preserve">3.1 Tablero Resumen de KPIs — Vista Ejecutiva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100"/>
        <w:gridCol w:w="1200"/>
        <w:gridCol w:w="1000"/>
        <w:gridCol w:w="34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1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Meta</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Umbral Alerta</w:t>
            </w:r>
          </w:p>
        </w:tc>
        <w:tc>
          <w:tcPr>
            <w:tcW w:type="dxa" w:w="1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34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Semáforo Método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KPI-1.1 Conversión Global</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18%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&lt; 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Verde ≥18%; Amarillo 14-18%; Rojo &lt;14%</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KPI-2.1 CAC Global</w:t>
            </w:r>
          </w:p>
        </w:tc>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V2</w:t>
            </w:r>
          </w:p>
        </w:tc>
        <w:tc>
          <w:tcPr>
            <w:tcW w:type="dxa" w:w="1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$1,200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$1,500</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Verde ≤1,200; Amarillo 1,200-1,500; Rojo &gt;1,500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KPI-2.3 Ratio CLV/CAC</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V2/V3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3.5x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&lt; 2.5x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Verde ≥3.5x; Amarillo 2.5-3.5x; Rojo &lt;2.5x</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KPI-3.1 CLV Promedio</w:t>
            </w:r>
          </w:p>
        </w:tc>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V3</w:t>
            </w:r>
          </w:p>
        </w:tc>
        <w:tc>
          <w:tcPr>
            <w:tcW w:type="dxa" w:w="1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$8,500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&lt; $6,000</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Verde ≥8,500; Amarillo 6,000-8,500; Rojo &lt;6,000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KPI-3.3 NPS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55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&lt; 40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Verde ≥55; Amarillo 40-54; Rojo &lt;40</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KPI-4.1 Retención</w:t>
            </w:r>
          </w:p>
        </w:tc>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w:t>
            </w:r>
          </w:p>
        </w:tc>
        <w:tc>
          <w:tcPr>
            <w:tcW w:type="dxa" w:w="1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92%</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&lt; 87%</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Verde ≥92%; Amarillo 87-92%; Rojo &lt;87%</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KPI-4.2 Churn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&gt; 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Verde ≤3%; Amarillo 3-5%; Rojo &gt;5%</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KPI-5.1 Margen Operativo</w:t>
            </w:r>
          </w:p>
        </w:tc>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V5</w:t>
            </w:r>
          </w:p>
        </w:tc>
        <w:tc>
          <w:tcPr>
            <w:tcW w:type="dxa" w:w="1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20%</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&lt; 12%</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Verde ≥20%; Amarillo 12-20%; Rojo &lt;12%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KPI-5.4 MRR Crecimiento</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8% MoM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&lt; 4% MoM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Verde ≥8%; Amarillo 4-8%; Rojo &lt;4%</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4. Mapa de Ruta Tecnológico — Technology Roadmap AxiaData</w:t>
      </w:r>
    </w:p>
    <w:p>
      <w:pPr>
        <w:spacing w:after="120" w:before="80"/>
        <w:jc w:val="both"/>
      </w:pPr>
      <w:r>
        <w:rPr>
          <w:rFonts w:ascii="Arial" w:cs="Arial" w:eastAsia="Arial" w:hAnsi="Arial"/>
          <w:b w:val="false"/>
          <w:bCs w:val="false"/>
          <w:i w:val="false"/>
          <w:iCs w:val="false"/>
          <w:color w:val="1A1A1A"/>
          <w:sz w:val="22"/>
          <w:szCs w:val="22"/>
        </w:rPr>
        <w:t xml:space="preserve">El Technology Roadmap de AxiaData define la secuencia de iniciativas tecnológicas planificadas para los próximos 36 meses, organizadas en cuatro oleadas de transformación.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1600"/>
        <w:gridCol w:w="1760"/>
      </w:tblGrid>
      <w:tr>
        <w:trPr>
          <w:tblHeader/>
        </w:trPr>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1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Oleada</w:t>
            </w:r>
          </w:p>
        </w:tc>
        <w:tc>
          <w:tcPr>
            <w:tcW w:type="dxa" w:w="3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Iniciativas Clave</w:t>
            </w:r>
          </w:p>
        </w:tc>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KPIs Impactados</w:t>
            </w:r>
          </w:p>
        </w:tc>
        <w:tc>
          <w:tcPr>
            <w:tcW w:type="dxa" w:w="17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Inversión Estimada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Q3-Q4 2025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Oleada 1: Fundación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Estabilización datalake. Dashboard ejecutivo live. Modelo churn en producción. Portal de privacidad GDPR.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KPI-4.1, KPI-4.2, KPI-5.1</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$85,000 USD</w:t>
            </w:r>
          </w:p>
        </w:tc>
      </w:tr>
      <w:tr>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Q1-Q2 2026</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Oleada 2: Escala</w:t>
            </w:r>
          </w:p>
        </w:tc>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MLOps automático. LLM para consultas en lenguaje natural. Módulo de optimización de precios. API pública.</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KPI-1.1, KPI-2.1, KPI-3.1, KPI-5.4</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$120,000 USD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Q3-Q4 2026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Oleada 3: Inteligencia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Synthetic data generation. Personalización IA por segmento. Integración edge computing para IoT.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KPI-3.2, KPI-3.5, KPI-4.3</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$95,000 USD</w:t>
            </w:r>
          </w:p>
        </w:tc>
      </w:tr>
      <w:tr>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2027</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Oleada 4: Innovación</w:t>
            </w:r>
          </w:p>
        </w:tc>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Plataforma multi-tenant. Marketplace de modelos. Primeros pilotos de computación cuántica para optimización.</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Todas. Meta: margen ≥ 25%</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$150,000 USD</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5. Documento de Estrategia Digital</w:t>
      </w:r>
    </w:p>
    <w:p>
      <w:pPr>
        <w:spacing w:after="150" w:before="300"/>
      </w:pPr>
      <w:r>
        <w:rPr>
          <w:rFonts w:ascii="Arial" w:cs="Arial" w:eastAsia="Arial" w:hAnsi="Arial"/>
          <w:b/>
          <w:bCs/>
          <w:color w:val="D4820A"/>
          <w:sz w:val="28"/>
          <w:szCs w:val="28"/>
        </w:rPr>
        <w:t xml:space="preserve">5.1 Análisis del Entorno — PESTEL Digital</w:t>
      </w:r>
    </w:p>
    <w:p>
      <w:pPr>
        <w:pStyle w:val="ListParagraph"/>
        <w:numPr>
          <w:ilvl w:val="0"/>
          <w:numId w:val="2"/>
        </w:numPr>
        <w:spacing w:after="60" w:before="60"/>
      </w:pPr>
      <w:r>
        <w:rPr>
          <w:rFonts w:ascii="Arial" w:cs="Arial" w:eastAsia="Arial" w:hAnsi="Arial"/>
          <w:color w:val="1A1A1A"/>
          <w:sz w:val="22"/>
          <w:szCs w:val="22"/>
        </w:rPr>
        <w:t xml:space="preserve">Político: Regulaciones de protección de datos (Ley 1581/2012 Colombia, GDPR EU) que exigen cumplimiento y representan diferenciador competitivo para AxiaData.</w:t>
      </w:r>
    </w:p>
    <w:p>
      <w:pPr>
        <w:pStyle w:val="ListParagraph"/>
        <w:numPr>
          <w:ilvl w:val="0"/>
          <w:numId w:val="2"/>
        </w:numPr>
        <w:spacing w:after="60" w:before="60"/>
      </w:pPr>
      <w:r>
        <w:rPr>
          <w:rFonts w:ascii="Arial" w:cs="Arial" w:eastAsia="Arial" w:hAnsi="Arial"/>
          <w:color w:val="1A1A1A"/>
          <w:sz w:val="22"/>
          <w:szCs w:val="22"/>
        </w:rPr>
        <w:t xml:space="preserve">Económico: Crecimiento del mercado de Business Intelligence en LATAM proyectado en 14.2% CAGR 2025–2030 (IDC). Oportunidad de captura de mercado en PMEs colombianas.</w:t>
      </w:r>
    </w:p>
    <w:p>
      <w:pPr>
        <w:pStyle w:val="ListParagraph"/>
        <w:numPr>
          <w:ilvl w:val="0"/>
          <w:numId w:val="2"/>
        </w:numPr>
        <w:spacing w:after="60" w:before="60"/>
      </w:pPr>
      <w:r>
        <w:rPr>
          <w:rFonts w:ascii="Arial" w:cs="Arial" w:eastAsia="Arial" w:hAnsi="Arial"/>
          <w:color w:val="1A1A1A"/>
          <w:sz w:val="22"/>
          <w:szCs w:val="22"/>
        </w:rPr>
        <w:t xml:space="preserve">Social: Mayor aceptación cultural de la toma de decisiones basada en datos en el ecosistema empresarial. Escasez de talento en ciencia de datos como riesgo de crecimiento.</w:t>
      </w:r>
    </w:p>
    <w:p>
      <w:pPr>
        <w:pStyle w:val="ListParagraph"/>
        <w:numPr>
          <w:ilvl w:val="0"/>
          <w:numId w:val="2"/>
        </w:numPr>
        <w:spacing w:after="60" w:before="60"/>
      </w:pPr>
      <w:r>
        <w:rPr>
          <w:rFonts w:ascii="Arial" w:cs="Arial" w:eastAsia="Arial" w:hAnsi="Arial"/>
          <w:color w:val="1A1A1A"/>
          <w:sz w:val="22"/>
          <w:szCs w:val="22"/>
        </w:rPr>
        <w:t xml:space="preserve">Tecnológico: Democratización de modelos LLM (ChatGPT, Claude, Gemini) que reducen la barrera de uso de IA. Commoditización del almacenamiento cloud que mejora el margen operativo.</w:t>
      </w:r>
    </w:p>
    <w:p>
      <w:pPr>
        <w:pStyle w:val="ListParagraph"/>
        <w:numPr>
          <w:ilvl w:val="0"/>
          <w:numId w:val="2"/>
        </w:numPr>
        <w:spacing w:after="60" w:before="60"/>
      </w:pPr>
      <w:r>
        <w:rPr>
          <w:rFonts w:ascii="Arial" w:cs="Arial" w:eastAsia="Arial" w:hAnsi="Arial"/>
          <w:color w:val="1A1A1A"/>
          <w:sz w:val="22"/>
          <w:szCs w:val="22"/>
        </w:rPr>
        <w:t xml:space="preserve">Ecológico: Presión creciente por sostenibilidad en TI. AxiaData se compromete con un PUE (Power Usage Effectiveness) ≤ 1.4 en su infraestructura cloud.</w:t>
      </w:r>
    </w:p>
    <w:p>
      <w:pPr>
        <w:pStyle w:val="ListParagraph"/>
        <w:numPr>
          <w:ilvl w:val="0"/>
          <w:numId w:val="2"/>
        </w:numPr>
        <w:spacing w:after="60" w:before="60"/>
      </w:pPr>
      <w:r>
        <w:rPr>
          <w:rFonts w:ascii="Arial" w:cs="Arial" w:eastAsia="Arial" w:hAnsi="Arial"/>
          <w:color w:val="1A1A1A"/>
          <w:sz w:val="22"/>
          <w:szCs w:val="22"/>
        </w:rPr>
        <w:t xml:space="preserve">Legal: Cumplimiento GDPR, Ley 1581, Ley 1273 (Delitos Informáticos Colombia). Riesgo de multas de hasta €20M en caso de incumplimiento GDPR.</w:t>
      </w:r>
    </w:p>
    <w:p>
      <w:pPr>
        <w:spacing w:after="150" w:before="300"/>
      </w:pPr>
      <w:r>
        <w:rPr>
          <w:rFonts w:ascii="Arial" w:cs="Arial" w:eastAsia="Arial" w:hAnsi="Arial"/>
          <w:b/>
          <w:bCs/>
          <w:color w:val="D4820A"/>
          <w:sz w:val="28"/>
          <w:szCs w:val="28"/>
        </w:rPr>
        <w:t xml:space="preserve">5.2 Análisis de Tecnologías Emergentes — Cuadrante de Prioridad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200"/>
        <w:gridCol w:w="2360"/>
      </w:tblGrid>
      <w:tr>
        <w:trPr>
          <w:tblHeader/>
        </w:trPr>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en Negocio</w:t>
            </w:r>
          </w:p>
        </w:tc>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Facilidad Implementación</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23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MLOps Automatizado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Alto — KPIs 1.5, 4.3, 5.1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CRÍTICA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Implementar en Q3 2025</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LLMs para consultas NL</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Alto — KPIs 3.3, 4.1</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Media</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ALTA</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Desarrollar en Q1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Synthetic Data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Medio — Ética, V4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Piloto Q4 2025</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Edge Computing</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Medio — V1, V5</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Baja</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MEDIA</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Roadmap Q3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Computación Cuántica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Alto potencial — V5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Muy Baja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BAJA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Investigación 2027+</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6. Plan de Gestión del Cambio y Capacitación</w:t>
      </w:r>
    </w:p>
    <w:p>
      <w:pPr>
        <w:spacing w:after="120" w:before="80"/>
        <w:jc w:val="both"/>
      </w:pPr>
      <w:r>
        <w:rPr>
          <w:rFonts w:ascii="Arial" w:cs="Arial" w:eastAsia="Arial" w:hAnsi="Arial"/>
          <w:b w:val="false"/>
          <w:bCs w:val="false"/>
          <w:i w:val="false"/>
          <w:iCs w:val="false"/>
          <w:color w:val="1A1A1A"/>
          <w:sz w:val="22"/>
          <w:szCs w:val="22"/>
        </w:rPr>
        <w:t xml:space="preserve">La transformación tecnológica exitosa requiere no solo cambios técnicos sino también una gestión cuidadosa del cambio organizacional. AxiaData adopta el modelo ADKAR (Awareness, Desire, Knowledge, Ability, Reinforcement) de Prosci como marco de gestión del cambio.</w:t>
      </w:r>
    </w:p>
    <w:p>
      <w:pPr>
        <w:spacing w:after="150" w:before="300"/>
      </w:pPr>
      <w:r>
        <w:rPr>
          <w:rFonts w:ascii="Arial" w:cs="Arial" w:eastAsia="Arial" w:hAnsi="Arial"/>
          <w:b/>
          <w:bCs/>
          <w:color w:val="D4820A"/>
          <w:sz w:val="28"/>
          <w:szCs w:val="28"/>
        </w:rPr>
        <w:t xml:space="preserve">6.1 Modelo ADKAR Aplicado a AxiaData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Fase ADKAR</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Acciones en AxiaData</w:t>
            </w:r>
          </w:p>
        </w:tc>
        <w:tc>
          <w:tcPr>
            <w:tcW w:type="dxa" w:w="25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KPI de Adopción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 Conciencia (Awareness)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Crear conocimiento de la necesidad del cambio.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Campañas de comunicación interna. Demos del sistema. Cases de éxito con datos reales.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empleados que conocen el sistema ≥ 90%</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 — Deseo (Desire)</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Generar motivación para participar en el cambio.</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Programa de embajadores digitales. Gamificación del uso del sistema. Reconocimientos.</w:t>
            </w:r>
          </w:p>
        </w:tc>
        <w:tc>
          <w:tcPr>
            <w:tcW w:type="dxa" w:w="2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de usuarios que usan activamente el sistema ≥ 70%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 — Conocimiento (Knowledge)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Proveer formación sobre cómo usar el sistema.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Academia AxiaData: cursos online, certificaciones, talleres prácticos.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Tasa de certificación interna ≥ 80%</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 — Habilidad (Ability)</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Desarrollar capacidades de uso efectivo.</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Laboratorios de práctica con datos reales del área. Mentoría de data champions.</w:t>
            </w:r>
          </w:p>
        </w:tc>
        <w:tc>
          <w:tcPr>
            <w:tcW w:type="dxa" w:w="2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Tiempo promedio de primera consulta autónoma ≤ 2 semanas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 — Refuerzo (Reinforcement)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Sostener el cambio en el tiempo.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Revisiones de uso mensual. Actualización de funcionalidades con feedback de usuarios.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Tasa de uso activo sostenido ≥ 65% a 6 meses</w:t>
            </w:r>
          </w:p>
        </w:tc>
      </w:tr>
    </w:tbl>
    <w:p>
      <w:pPr>
        <w:spacing w:after="80" w:before="80"/>
      </w:pPr>
      <w:r>
        <w:t xml:space="preserve"/>
      </w:r>
    </w:p>
    <w:p>
      <w:pPr>
        <w:spacing w:after="150" w:before="300"/>
      </w:pPr>
      <w:r>
        <w:rPr>
          <w:rFonts w:ascii="Arial" w:cs="Arial" w:eastAsia="Arial" w:hAnsi="Arial"/>
          <w:b/>
          <w:bCs/>
          <w:color w:val="D4820A"/>
          <w:sz w:val="28"/>
          <w:szCs w:val="28"/>
        </w:rPr>
        <w:t xml:space="preserve">6.2 Plan de Capacitación por Perfil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160"/>
        <w:gridCol w:w="1800"/>
      </w:tblGrid>
      <w:tr>
        <w:trPr>
          <w:tblHeader/>
        </w:trPr>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Horas de Formación</w:t>
            </w:r>
          </w:p>
        </w:tc>
        <w:tc>
          <w:tcPr>
            <w:tcW w:type="dxa" w:w="41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Contenidos Clave</w:t>
            </w:r>
          </w:p>
        </w:tc>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Certificación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Alta Dirección (C-Suite)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 horas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 ejecutivo, interpretación de KPIs, toma de decisiones basada en datos.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Executive Data Leader — AxiaData</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Gerencia 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 horas</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Análisis por área, configuración de alertas, reportes ad-hoc, simulación de escenarios.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Data Manager — AxiaData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Analistas y Técnicos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40 horas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Minería de datos, uso de modelos ML, pipelines ETL, APIs de integración.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 Analyst Professional — AxiaData</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Comerciales y Customer Success</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16 horas</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CRM integrado con AxiaData, alertas de churn, perfiles de cliente, CLV dashboard.</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Customer Intelligence — AxiaData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 y Data Engineering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60 horas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Arquitectura del datalake, MLOps, seguridad, GDPR técnico, troubleshooting.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AxiaData Engineer Certified</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7. Conclusiones</w:t>
      </w:r>
    </w:p>
    <w:p>
      <w:pPr>
        <w:spacing w:after="120" w:before="80"/>
        <w:jc w:val="both"/>
      </w:pPr>
      <w:r>
        <w:rPr>
          <w:rFonts w:ascii="Arial" w:cs="Arial" w:eastAsia="Arial" w:hAnsi="Arial"/>
          <w:b w:val="false"/>
          <w:bCs w:val="false"/>
          <w:i w:val="false"/>
          <w:iCs w:val="false"/>
          <w:color w:val="1A1A1A"/>
          <w:sz w:val="22"/>
          <w:szCs w:val="22"/>
        </w:rPr>
        <w:t xml:space="preserve">El componente de Estrategia Digital y Transformación Tecnológica de AxiaData establece un marco integral y coherente que conecta directamente las capacidades tecnológicas del sistema con las cinco variables estratégicas de negocio, materializadas en KPIs medibles, fórmulas precisas y umbrales de gestión.</w:t>
      </w:r>
    </w:p>
    <w:p>
      <w:pPr>
        <w:pStyle w:val="ListParagraph"/>
        <w:numPr>
          <w:ilvl w:val="0"/>
          <w:numId w:val="2"/>
        </w:numPr>
        <w:spacing w:after="60" w:before="60"/>
      </w:pPr>
      <w:r>
        <w:rPr>
          <w:rFonts w:ascii="Arial" w:cs="Arial" w:eastAsia="Arial" w:hAnsi="Arial"/>
          <w:color w:val="1A1A1A"/>
          <w:sz w:val="22"/>
          <w:szCs w:val="22"/>
        </w:rPr>
        <w:t xml:space="preserve">Los 25 KPIs definidos (5 por cada variable de negocio) proveen una cobertura completa del desempeño del sistema y del negocio, permitiendo una gestión por datos de la propia plataforma de datos.</w:t>
      </w:r>
    </w:p>
    <w:p>
      <w:pPr>
        <w:pStyle w:val="ListParagraph"/>
        <w:numPr>
          <w:ilvl w:val="0"/>
          <w:numId w:val="2"/>
        </w:numPr>
        <w:spacing w:after="60" w:before="60"/>
      </w:pPr>
      <w:r>
        <w:rPr>
          <w:rFonts w:ascii="Arial" w:cs="Arial" w:eastAsia="Arial" w:hAnsi="Arial"/>
          <w:color w:val="1A1A1A"/>
          <w:sz w:val="22"/>
          <w:szCs w:val="22"/>
        </w:rPr>
        <w:t xml:space="preserve">El Technology Roadmap en 4 oleadas garantiza una evolución sostenida del sistema, con inversiones priorizadas según impacto en KPIs y viabilidad técnica.</w:t>
      </w:r>
    </w:p>
    <w:p>
      <w:pPr>
        <w:pStyle w:val="ListParagraph"/>
        <w:numPr>
          <w:ilvl w:val="0"/>
          <w:numId w:val="2"/>
        </w:numPr>
        <w:spacing w:after="60" w:before="60"/>
      </w:pPr>
      <w:r>
        <w:rPr>
          <w:rFonts w:ascii="Arial" w:cs="Arial" w:eastAsia="Arial" w:hAnsi="Arial"/>
          <w:color w:val="1A1A1A"/>
          <w:sz w:val="22"/>
          <w:szCs w:val="22"/>
        </w:rPr>
        <w:t xml:space="preserve">El modelo ADKAR y el plan de capacitación por perfiles reducen el riesgo de fracaso por resistencia al cambio — el factor más frecuente en transformaciones digitales fallidas.</w:t>
      </w:r>
    </w:p>
    <w:p>
      <w:pPr>
        <w:pStyle w:val="ListParagraph"/>
        <w:numPr>
          <w:ilvl w:val="0"/>
          <w:numId w:val="2"/>
        </w:numPr>
        <w:spacing w:after="60" w:before="60"/>
      </w:pPr>
      <w:r>
        <w:rPr>
          <w:rFonts w:ascii="Arial" w:cs="Arial" w:eastAsia="Arial" w:hAnsi="Arial"/>
          <w:color w:val="1A1A1A"/>
          <w:sz w:val="22"/>
          <w:szCs w:val="22"/>
        </w:rPr>
        <w:t xml:space="preserve">La alineación entre KPIs de transformación digital y variables de negocio cierra el círculo entre tecnología y resultados, haciendo de AxiaData un sistema que se mide a sí mismo.</w:t>
      </w:r>
    </w:p>
    <w:p>
      <w:pPr>
        <w:pStyle w:val="ListParagraph"/>
        <w:numPr>
          <w:ilvl w:val="0"/>
          <w:numId w:val="2"/>
        </w:numPr>
        <w:spacing w:after="60" w:before="60"/>
      </w:pPr>
      <w:r>
        <w:rPr>
          <w:rFonts w:ascii="Arial" w:cs="Arial" w:eastAsia="Arial" w:hAnsi="Arial"/>
          <w:color w:val="1A1A1A"/>
          <w:sz w:val="22"/>
          <w:szCs w:val="22"/>
        </w:rPr>
        <w:t xml:space="preserve">AxiaData representa la integración orgánica de Minería de Datos, Simulación, Ética y Transformación Digital en un único sistema coherente que eleva la madurez analítica de la organización al nivel más alto del modelo de madurez de datos.</w:t>
      </w:r>
    </w:p>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8. Referencias Bibliográficas</w:t>
      </w:r>
    </w:p>
    <w:p>
      <w:pPr>
        <w:spacing w:after="120" w:before="80"/>
        <w:jc w:val="both"/>
      </w:pPr>
      <w:r>
        <w:rPr>
          <w:rFonts w:ascii="Arial" w:cs="Arial" w:eastAsia="Arial" w:hAnsi="Arial"/>
          <w:b w:val="false"/>
          <w:bCs w:val="false"/>
          <w:i/>
          <w:iCs/>
          <w:color w:val="1A1A1A"/>
          <w:sz w:val="22"/>
          <w:szCs w:val="22"/>
        </w:rPr>
        <w:t xml:space="preserve">Hiatt, J. (2006). ADKAR: A Model for Change in Business, Government and Our Community. Prosci Learning Center Publications.</w:t>
      </w:r>
    </w:p>
    <w:p>
      <w:pPr>
        <w:spacing w:after="120" w:before="80"/>
        <w:jc w:val="both"/>
      </w:pPr>
      <w:r>
        <w:rPr>
          <w:rFonts w:ascii="Arial" w:cs="Arial" w:eastAsia="Arial" w:hAnsi="Arial"/>
          <w:b w:val="false"/>
          <w:bCs w:val="false"/>
          <w:i/>
          <w:iCs/>
          <w:color w:val="1A1A1A"/>
          <w:sz w:val="22"/>
          <w:szCs w:val="22"/>
        </w:rPr>
        <w:t xml:space="preserve">Westerman, G., Bonnet, D., &amp; McAfee, A. (2014). Leading Digital: Turning Technology into Business Transformation. Harvard Business Review Press.</w:t>
      </w:r>
    </w:p>
    <w:p>
      <w:pPr>
        <w:spacing w:after="120" w:before="80"/>
        <w:jc w:val="both"/>
      </w:pPr>
      <w:r>
        <w:rPr>
          <w:rFonts w:ascii="Arial" w:cs="Arial" w:eastAsia="Arial" w:hAnsi="Arial"/>
          <w:b w:val="false"/>
          <w:bCs w:val="false"/>
          <w:i/>
          <w:iCs/>
          <w:color w:val="1A1A1A"/>
          <w:sz w:val="22"/>
          <w:szCs w:val="22"/>
        </w:rPr>
        <w:t xml:space="preserve">Gartner, Inc. (2024). Gartner Hype Cycle for Emerging Technologies. Gartner Research.</w:t>
      </w:r>
    </w:p>
    <w:p>
      <w:pPr>
        <w:spacing w:after="120" w:before="80"/>
        <w:jc w:val="both"/>
      </w:pPr>
      <w:r>
        <w:rPr>
          <w:rFonts w:ascii="Arial" w:cs="Arial" w:eastAsia="Arial" w:hAnsi="Arial"/>
          <w:b w:val="false"/>
          <w:bCs w:val="false"/>
          <w:i/>
          <w:iCs/>
          <w:color w:val="1A1A1A"/>
          <w:sz w:val="22"/>
          <w:szCs w:val="22"/>
        </w:rPr>
        <w:t xml:space="preserve">IDC Latin America. (2024). Business Intelligence Market Forecast 2025–2030 — LATAM. IDC.</w:t>
      </w:r>
    </w:p>
    <w:p>
      <w:pPr>
        <w:spacing w:after="120" w:before="80"/>
        <w:jc w:val="both"/>
      </w:pPr>
      <w:r>
        <w:rPr>
          <w:rFonts w:ascii="Arial" w:cs="Arial" w:eastAsia="Arial" w:hAnsi="Arial"/>
          <w:b w:val="false"/>
          <w:bCs w:val="false"/>
          <w:i/>
          <w:iCs/>
          <w:color w:val="1A1A1A"/>
          <w:sz w:val="22"/>
          <w:szCs w:val="22"/>
        </w:rPr>
        <w:t xml:space="preserve">Kaplan, R. S., &amp; Norton, D. P. (1996). The Balanced Scorecard: Translating Strategy into Action. Harvard Business School Press.</w:t>
      </w:r>
    </w:p>
    <w:p>
      <w:pPr>
        <w:spacing w:after="120" w:before="80"/>
        <w:jc w:val="both"/>
      </w:pPr>
      <w:r>
        <w:rPr>
          <w:rFonts w:ascii="Arial" w:cs="Arial" w:eastAsia="Arial" w:hAnsi="Arial"/>
          <w:b w:val="false"/>
          <w:bCs w:val="false"/>
          <w:i/>
          <w:iCs/>
          <w:color w:val="1A1A1A"/>
          <w:sz w:val="22"/>
          <w:szCs w:val="22"/>
        </w:rPr>
        <w:t xml:space="preserve">MIT Sloan Management Review &amp; Deloitte. (2023). Bridging the Data Value Gap. MIT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820A" w:sz="4" w:space="4"/>
      </w:pBdr>
      <w:tabs>
        <w:tab w:val="right" w:pos="9360"/>
      </w:tabs>
    </w:pPr>
    <w:r>
      <w:rPr>
        <w:rFonts w:ascii="Arial" w:cs="Arial" w:eastAsia="Arial" w:hAnsi="Arial"/>
        <w:color w:val="7A7A7A"/>
        <w:sz w:val="18"/>
        <w:szCs w:val="18"/>
      </w:rPr>
      <w:t xml:space="preserve">Electiva VI: Estrategia Digital y Transformación Tecnológica — Docente: Edinson Leonardo Martínez Palencia</w:t>
    </w:r>
    <w:r>
      <w:rPr>
        <w:rFonts w:ascii="Arial" w:cs="Arial" w:eastAsia="Arial" w:hAnsi="Arial"/>
        <w:sz w:val="18"/>
        <w:szCs w:val="18"/>
      </w:rPr>
      <w:t xml:space="preserve">	</w:t>
    </w:r>
    <w:r>
      <w:rPr>
        <w:rFonts w:ascii="Arial" w:cs="Arial" w:eastAsia="Arial" w:hAnsi="Arial"/>
        <w:color w:val="7A7A7A"/>
        <w:sz w:val="18"/>
        <w:szCs w:val="18"/>
      </w:rPr>
      <w:t xml:space="preserve">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1F28" w:sz="6" w:space="4"/>
      </w:pBdr>
    </w:pPr>
    <w:r>
      <w:rPr>
        <w:rFonts w:ascii="Arial" w:cs="Arial" w:eastAsia="Arial" w:hAnsi="Arial"/>
        <w:b/>
        <w:bCs/>
        <w:color w:val="8C1F28"/>
        <w:sz w:val="18"/>
        <w:szCs w:val="18"/>
      </w:rPr>
      <w:t xml:space="preserve">FUNDACIÓN UNIVERSITARIA SAN MATEO  |  X Semestre — Grupo 01N31</w:t>
    </w:r>
    <w:r>
      <w:rPr>
        <w:rFonts w:ascii="Arial" w:cs="Arial" w:eastAsia="Arial" w:hAnsi="Arial"/>
        <w:color w:val="7A7A7A"/>
        <w:sz w:val="18"/>
        <w:szCs w:val="18"/>
      </w:rPr>
      <w:t xml:space="preserve">  AxiaData — Sistema Inteligente para la Toma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2026-05-06T03:29:05.570Z</dcterms:created>
  <dcterms:modified xsi:type="dcterms:W3CDTF">2026-05-06T03:29:05.570Z</dcterms:modified>
</cp:coreProperties>
</file>

<file path=docProps/custom.xml><?xml version="1.0" encoding="utf-8"?>
<Properties xmlns="http://schemas.openxmlformats.org/officeDocument/2006/custom-properties" xmlns:vt="http://schemas.openxmlformats.org/officeDocument/2006/docPropsVTypes"/>
</file>