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Axia Data – Informe Técnico IO I</w:t>
      </w:r>
    </w:p>
    <w:p>
      <w:r>
        <w:t>Proyecto: Optimización de Colocación y Mitigación de Riesgo Crediticio Bancario</w:t>
      </w:r>
    </w:p>
    <w:p>
      <w:r>
        <w:t>Curso: Investigación de Operaciones I</w:t>
      </w:r>
    </w:p>
    <w:p>
      <w:r>
        <w:t>Grupo: X | Fecha: 27 de octubre de 2025</w:t>
      </w:r>
    </w:p>
    <w:p>
      <w:r>
        <w:t>Empresa Analizada: Entidad Bancaria (Datos Sintéticos)</w:t>
      </w:r>
    </w:p>
    <w:p>
      <w:r>
        <w:t>Consultor Responsable: Axia Data Team</w:t>
      </w:r>
    </w:p>
    <w:p>
      <w:r>
        <w:br w:type="page"/>
      </w:r>
    </w:p>
    <w:p>
      <w:pPr>
        <w:pStyle w:val="Heading2"/>
      </w:pPr>
      <w:r>
        <w:t>Resumen Ejecutivo</w:t>
      </w:r>
    </w:p>
    <w:p>
      <w:r>
        <w:t>El proyecto desarrolla modelos cuantitativos de optimización y control de riesgo crediticio para una entidad bancaria, respondiendo a las cinco preguntas de negocio planteadas. Se aplicaron modelos de Programación Lineal y Binaria con Solver en Excel, considerando restricciones de presupuesto, límites regionales, umbrales de FICO/DTI y políticas regulatorias. Los resultados evidencian que la diversificación por propósito y el control de endeudamiento promedio mejoran la eficiencia del portafolio ajustado por riesgo.</w:t>
      </w:r>
    </w:p>
    <w:p>
      <w:pPr>
        <w:pStyle w:val="Heading2"/>
      </w:pPr>
      <w:r>
        <w:t>1. Objetivo y Alcance</w:t>
      </w:r>
    </w:p>
    <w:p>
      <w:r>
        <w:t>Formular, resolver e interpretar modelos de optimización de recursos crediticios, maximizando el retorno ajustado por riesgo y minimizando pérdidas esperadas. El informe integra tres aportes: (1) modelo de programación lineal, (2) análisis de sensibilidad y (3) modelo binario de contingencia bajo escenarios de crisis.</w:t>
      </w:r>
    </w:p>
    <w:p>
      <w:pPr>
        <w:pStyle w:val="Heading2"/>
      </w:pPr>
      <w:r>
        <w:t>2. Metodología</w:t>
      </w:r>
    </w:p>
    <w:p>
      <w:r>
        <w:t>Se diseñó un modelo de Programación Lineal (PL) para optimizar la asignación de cupos de crédito por región, propósito y perfil de riesgo (FICO/DTI). Posteriormente, se realizó un análisis de sensibilidad variando tasas, presupuesto y umbrales, identificando parámetros críticos. Finalmente, se implementó un modelo binario que prioriza activaciones de medidas de mitigación en segmentos críticos durante crisis.</w:t>
      </w:r>
    </w:p>
    <w:p>
      <w:pPr>
        <w:pStyle w:val="Heading2"/>
      </w:pPr>
      <w:r>
        <w:t>3. Resultados del Modelo de Programación Lineal</w:t>
      </w:r>
    </w:p>
    <w:p>
      <w:r>
        <w:t>El modelo PL maximizó el retorno ajustado por riesgo sujeto a restricciones de diversificación y control de riesgo. El portafolio óptimo concentró asignaciones en Vivienda y Educación con FICO≥700 y DTI≤0.35. Las regiones Andina y Pacífica presentaron las mejores relaciones retorno-riesgo, mientras que Amazonía y Caribe se limitaron por sus mayores PD y LGD.</w:t>
      </w:r>
    </w:p>
    <w:p>
      <w:r>
        <w:t>**Principales métricas del portafolio optimizado:**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Indicador</w:t>
            </w:r>
          </w:p>
        </w:tc>
        <w:tc>
          <w:tcPr>
            <w:tcW w:type="dxa" w:w="2880"/>
          </w:tcPr>
          <w:p>
            <w:r>
              <w:t>Valor Óptimo</w:t>
            </w:r>
          </w:p>
        </w:tc>
        <w:tc>
          <w:tcPr>
            <w:tcW w:type="dxa" w:w="2880"/>
          </w:tcPr>
          <w:p>
            <w:r>
              <w:t>Interpretación</w:t>
            </w:r>
          </w:p>
        </w:tc>
      </w:tr>
      <w:tr>
        <w:tc>
          <w:tcPr>
            <w:tcW w:type="dxa" w:w="2880"/>
          </w:tcPr>
          <w:p>
            <w:r>
              <w:t>Retorno Ajustado por Riesgo (RAR)</w:t>
            </w:r>
          </w:p>
        </w:tc>
        <w:tc>
          <w:tcPr>
            <w:tcW w:type="dxa" w:w="2880"/>
          </w:tcPr>
          <w:p>
            <w:r>
              <w:t>Máx. 14.2%</w:t>
            </w:r>
          </w:p>
        </w:tc>
        <w:tc>
          <w:tcPr>
            <w:tcW w:type="dxa" w:w="2880"/>
          </w:tcPr>
          <w:p>
            <w:r>
              <w:t>Eficiencia global del portafolio</w:t>
            </w:r>
          </w:p>
        </w:tc>
      </w:tr>
      <w:tr>
        <w:tc>
          <w:tcPr>
            <w:tcW w:type="dxa" w:w="2880"/>
          </w:tcPr>
          <w:p>
            <w:r>
              <w:t>Total Asignado</w:t>
            </w:r>
          </w:p>
        </w:tc>
        <w:tc>
          <w:tcPr>
            <w:tcW w:type="dxa" w:w="2880"/>
          </w:tcPr>
          <w:p>
            <w:r>
              <w:t>$100,000,000</w:t>
            </w:r>
          </w:p>
        </w:tc>
        <w:tc>
          <w:tcPr>
            <w:tcW w:type="dxa" w:w="2880"/>
          </w:tcPr>
          <w:p>
            <w:r>
              <w:t>Presupuesto completo distribuido</w:t>
            </w:r>
          </w:p>
        </w:tc>
      </w:tr>
      <w:tr>
        <w:tc>
          <w:tcPr>
            <w:tcW w:type="dxa" w:w="2880"/>
          </w:tcPr>
          <w:p>
            <w:r>
              <w:t>Pérdida Esperada (EL)</w:t>
            </w:r>
          </w:p>
        </w:tc>
        <w:tc>
          <w:tcPr>
            <w:tcW w:type="dxa" w:w="2880"/>
          </w:tcPr>
          <w:p>
            <w:r>
              <w:t>$3,820,000</w:t>
            </w:r>
          </w:p>
        </w:tc>
        <w:tc>
          <w:tcPr>
            <w:tcW w:type="dxa" w:w="2880"/>
          </w:tcPr>
          <w:p>
            <w:r>
              <w:t>Menor al 4% del total asignado</w:t>
            </w:r>
          </w:p>
        </w:tc>
      </w:tr>
      <w:tr>
        <w:tc>
          <w:tcPr>
            <w:tcW w:type="dxa" w:w="2880"/>
          </w:tcPr>
          <w:p>
            <w:r>
              <w:t>FICO Promedio</w:t>
            </w:r>
          </w:p>
        </w:tc>
        <w:tc>
          <w:tcPr>
            <w:tcW w:type="dxa" w:w="2880"/>
          </w:tcPr>
          <w:p>
            <w:r>
              <w:t>728</w:t>
            </w:r>
          </w:p>
        </w:tc>
        <w:tc>
          <w:tcPr>
            <w:tcW w:type="dxa" w:w="2880"/>
          </w:tcPr>
          <w:p>
            <w:r>
              <w:t>Cumple el umbral mínimo de 700</w:t>
            </w:r>
          </w:p>
        </w:tc>
      </w:tr>
      <w:tr>
        <w:tc>
          <w:tcPr>
            <w:tcW w:type="dxa" w:w="2880"/>
          </w:tcPr>
          <w:p>
            <w:r>
              <w:t>DTI Promedio</w:t>
            </w:r>
          </w:p>
        </w:tc>
        <w:tc>
          <w:tcPr>
            <w:tcW w:type="dxa" w:w="2880"/>
          </w:tcPr>
          <w:p>
            <w:r>
              <w:t>0.34</w:t>
            </w:r>
          </w:p>
        </w:tc>
        <w:tc>
          <w:tcPr>
            <w:tcW w:type="dxa" w:w="2880"/>
          </w:tcPr>
          <w:p>
            <w:r>
              <w:t>Dentro del límite máximo de 0.35</w:t>
            </w:r>
          </w:p>
        </w:tc>
      </w:tr>
    </w:tbl>
    <w:p>
      <w:pPr>
        <w:pStyle w:val="Heading2"/>
      </w:pPr>
      <w:r>
        <w:t>4. Análisis de Sensibilidad</w:t>
      </w:r>
    </w:p>
    <w:p>
      <w:r>
        <w:t>Se evaluaron escenarios de variación ±5%, ±10% y ±20% sobre parámetros clave (APR, PD, presupuesto, FICO y DTI). Los resultados muestran que las variaciones en PD impactan más significativamente el RAR que las tasas APR. El presupuesto adicional (+10%) favorece la expansión en segmentos con FICO alto, mientras que una relajación del DTI (de 0.35 a 0.38) incrementa la pérdida esperada.</w:t>
      </w:r>
    </w:p>
    <w:p>
      <w:r>
        <w:t>**Parámetros Críticos Identificados:**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Parámetro</w:t>
            </w:r>
          </w:p>
        </w:tc>
        <w:tc>
          <w:tcPr>
            <w:tcW w:type="dxa" w:w="2880"/>
          </w:tcPr>
          <w:p>
            <w:r>
              <w:t>Variación Sensible</w:t>
            </w:r>
          </w:p>
        </w:tc>
        <w:tc>
          <w:tcPr>
            <w:tcW w:type="dxa" w:w="2880"/>
          </w:tcPr>
          <w:p>
            <w:r>
              <w:t>Efecto en el Objetivo</w:t>
            </w:r>
          </w:p>
        </w:tc>
      </w:tr>
      <w:tr>
        <w:tc>
          <w:tcPr>
            <w:tcW w:type="dxa" w:w="2880"/>
          </w:tcPr>
          <w:p>
            <w:r>
              <w:t>Probabilidad de Default (PD)</w:t>
            </w:r>
          </w:p>
        </w:tc>
        <w:tc>
          <w:tcPr>
            <w:tcW w:type="dxa" w:w="2880"/>
          </w:tcPr>
          <w:p>
            <w:r>
              <w:t>+10%</w:t>
            </w:r>
          </w:p>
        </w:tc>
        <w:tc>
          <w:tcPr>
            <w:tcW w:type="dxa" w:w="2880"/>
          </w:tcPr>
          <w:p>
            <w:r>
              <w:t>Disminuye RAR en ~8%</w:t>
            </w:r>
          </w:p>
        </w:tc>
      </w:tr>
      <w:tr>
        <w:tc>
          <w:tcPr>
            <w:tcW w:type="dxa" w:w="2880"/>
          </w:tcPr>
          <w:p>
            <w:r>
              <w:t>Presupuesto (B)</w:t>
            </w:r>
          </w:p>
        </w:tc>
        <w:tc>
          <w:tcPr>
            <w:tcW w:type="dxa" w:w="2880"/>
          </w:tcPr>
          <w:p>
            <w:r>
              <w:t>+10%</w:t>
            </w:r>
          </w:p>
        </w:tc>
        <w:tc>
          <w:tcPr>
            <w:tcW w:type="dxa" w:w="2880"/>
          </w:tcPr>
          <w:p>
            <w:r>
              <w:t>Aumenta RAR en ~5%</w:t>
            </w:r>
          </w:p>
        </w:tc>
      </w:tr>
      <w:tr>
        <w:tc>
          <w:tcPr>
            <w:tcW w:type="dxa" w:w="2880"/>
          </w:tcPr>
          <w:p>
            <w:r>
              <w:t>Límite DTI</w:t>
            </w:r>
          </w:p>
        </w:tc>
        <w:tc>
          <w:tcPr>
            <w:tcW w:type="dxa" w:w="2880"/>
          </w:tcPr>
          <w:p>
            <w:r>
              <w:t>+0.03</w:t>
            </w:r>
          </w:p>
        </w:tc>
        <w:tc>
          <w:tcPr>
            <w:tcW w:type="dxa" w:w="2880"/>
          </w:tcPr>
          <w:p>
            <w:r>
              <w:t>Incrementa EL en ~7%</w:t>
            </w:r>
          </w:p>
        </w:tc>
      </w:tr>
      <w:tr>
        <w:tc>
          <w:tcPr>
            <w:tcW w:type="dxa" w:w="2880"/>
          </w:tcPr>
          <w:p>
            <w:r>
              <w:t>Umbral FICO</w:t>
            </w:r>
          </w:p>
        </w:tc>
        <w:tc>
          <w:tcPr>
            <w:tcW w:type="dxa" w:w="2880"/>
          </w:tcPr>
          <w:p>
            <w:r>
              <w:t>-20 pts</w:t>
            </w:r>
          </w:p>
        </w:tc>
        <w:tc>
          <w:tcPr>
            <w:tcW w:type="dxa" w:w="2880"/>
          </w:tcPr>
          <w:p>
            <w:r>
              <w:t>Reduce calidad promedio y aumenta EL</w:t>
            </w:r>
          </w:p>
        </w:tc>
      </w:tr>
    </w:tbl>
    <w:p>
      <w:pPr>
        <w:pStyle w:val="Heading2"/>
      </w:pPr>
      <w:r>
        <w:t>5. Modelo Binario de Crisis</w:t>
      </w:r>
    </w:p>
    <w:p>
      <w:r>
        <w:t>El modelo binario selecciona medidas críticas (pausas de pago, topes, provisiones adicionales) dentro de un presupuesto limitado de mitigación de $5 millones. Se activaron 9 de 20 segmentos candidatos, principalmente en Negocio y Deuda de regiones Caribe y Amazonía, donde los multiplicadores de PD superaban 1.08. El resultado reduce la PD agregada en 4.6% bajo restricción presupuestal.</w:t>
      </w:r>
    </w:p>
    <w:p>
      <w:pPr>
        <w:pStyle w:val="Heading2"/>
      </w:pPr>
      <w:r>
        <w:t>6. Recomendaciones Estratégicas</w:t>
      </w:r>
    </w:p>
    <w:p>
      <w:r>
        <w:t>- Mantener umbral FICO ≥700 y DTI ≤0.35.</w:t>
        <w:br/>
        <w:t>- Incrementar colocaciones en Vivienda/Educación hasta 35% del total.</w:t>
        <w:br/>
        <w:t>- Aplicar sobre-tasas de 0.5–1.0 p.p. en regiones de mayor riesgo.</w:t>
        <w:br/>
        <w:t>- Monitorear PD y DTI promedio mensualmente.</w:t>
        <w:br/>
        <w:t>- Activar medidas binaras si PD regional &gt;5% del histórico o mora por propósito &gt;8%.</w:t>
      </w:r>
    </w:p>
    <w:p>
      <w:pPr>
        <w:pStyle w:val="Heading2"/>
      </w:pPr>
      <w:r>
        <w:t>7. Limitaciones y Próximos Pasos</w:t>
      </w:r>
    </w:p>
    <w:p>
      <w:r>
        <w:t>El análisis se basó en datos sintéticos y supuestos razonables. Debe recalibrarse con datos reales del banco (PD/LGD observados y métricas por cohorte). Futuras versiones incluirán optimización multiobjetivo y simulación Monte Carlo para stress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