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52"/>
        <w:spacing/>
        <w:ind/>
        <w:rPr/>
      </w:pPr>
      <w:r/>
      <w:bookmarkStart w:id="7" w:name="_Toc7"/>
      <w:r>
        <w:rPr>
          <w:rFonts w:ascii="Arial" w:hAnsi="Arial"/>
          <w:color w:val="000000"/>
        </w:rPr>
        <w:t xml:space="preserve">3. Aplicación de los Temas Investigados</w:t>
      </w:r>
      <w:r/>
      <w:bookmarkEnd w:id="7"/>
      <w:r/>
      <w:r/>
    </w:p>
    <w:p>
      <w:pPr>
        <w:spacing w:after="0" w:before="0" w:line="360" w:lineRule="auto"/>
        <w:ind w:firstLine="709"/>
        <w:rPr/>
      </w:pPr>
      <w:r>
        <w:rPr>
          <w:rFonts w:ascii="Arial" w:hAnsi="Arial"/>
          <w:b w:val="0"/>
          <w:i w:val="0"/>
          <w:color w:val="000000"/>
          <w:sz w:val="24"/>
        </w:rPr>
        <w:t xml:space="preserve">Esta sección aplica los tres puntos investigados en el documento de investigación a la realidad de Nova Eventos.</w:t>
      </w:r>
      <w:r/>
    </w:p>
    <w:p>
      <w:pPr>
        <w:pStyle w:val="753"/>
        <w:spacing/>
        <w:ind/>
        <w:rPr/>
      </w:pPr>
      <w:r/>
      <w:bookmarkStart w:id="8" w:name="_Toc8"/>
      <w:r>
        <w:rPr>
          <w:rFonts w:ascii="Arial" w:hAnsi="Arial"/>
          <w:color w:val="000000"/>
        </w:rPr>
        <w:t xml:space="preserve">3.1 Dirección Estratégica: Visión, Misión, Valores y Objetivo General</w:t>
      </w:r>
      <w:r/>
      <w:bookmarkEnd w:id="8"/>
      <w:r/>
      <w:r/>
    </w:p>
    <w:p>
      <w:pPr>
        <w:spacing w:after="0" w:before="0" w:line="360" w:lineRule="auto"/>
        <w:ind w:firstLine="709"/>
        <w:rPr/>
      </w:pPr>
      <w:r>
        <w:rPr>
          <w:rFonts w:ascii="Arial" w:hAnsi="Arial"/>
          <w:b/>
          <w:i w:val="0"/>
          <w:color w:val="000000"/>
          <w:sz w:val="24"/>
        </w:rPr>
        <w:t xml:space="preserve">Visión. </w:t>
      </w:r>
      <w:r>
        <w:rPr>
          <w:rFonts w:ascii="Arial" w:hAnsi="Arial"/>
          <w:b w:val="0"/>
          <w:i/>
          <w:color w:val="000000"/>
          <w:sz w:val="24"/>
        </w:rPr>
        <w:t xml:space="preserve">Ser una empresa reconocida en La Paz por ofrecer experiencias sociales creativas, personalizadas y confiables, destacándose por la calidad de su organización, la innovación en sus servicios y la satisfacción de sus clientes.</w:t>
      </w:r>
      <w:r/>
    </w:p>
    <w:p>
      <w:pPr>
        <w:spacing w:after="0" w:before="0" w:line="360" w:lineRule="auto"/>
        <w:ind w:firstLine="709"/>
        <w:rPr/>
      </w:pPr>
      <w:r>
        <w:rPr>
          <w:rFonts w:ascii="Arial" w:hAnsi="Arial"/>
          <w:b/>
          <w:i w:val="0"/>
          <w:color w:val="000000"/>
          <w:sz w:val="24"/>
        </w:rPr>
        <w:t xml:space="preserve">Misión. </w:t>
      </w:r>
      <w:r>
        <w:rPr>
          <w:rFonts w:ascii="Arial" w:hAnsi="Arial"/>
          <w:b w:val="0"/>
          <w:i/>
          <w:color w:val="000000"/>
          <w:sz w:val="24"/>
        </w:rPr>
        <w:t xml:space="preserve">Planificar y ejecutar</w:t>
      </w:r>
      <w:r>
        <w:rPr>
          <w:rFonts w:ascii="Arial" w:hAnsi="Arial"/>
          <w:b w:val="0"/>
          <w:i/>
          <w:color w:val="000000"/>
          <w:sz w:val="24"/>
        </w:rPr>
        <w:t xml:space="preserve"> eventos sociales mediante soluciones personalizadas, presupuestos transparentes, proveedores confiables y herramientas digitales que permitan a los clientes disfrutar de celebraciones organizadas de acuerdo con sus preferencias y posibilidades económicas.</w:t>
      </w:r>
      <w:r/>
    </w:p>
    <w:p>
      <w:pPr>
        <w:spacing w:after="0" w:before="120" w:line="360" w:lineRule="auto"/>
        <w:ind w:firstLine="0"/>
        <w:rPr/>
      </w:pPr>
      <w:r>
        <w:rPr>
          <w:rFonts w:ascii="Arial" w:hAnsi="Arial"/>
          <w:b w:val="0"/>
          <w:i w:val="0"/>
          <w:color w:val="000000"/>
          <w:sz w:val="24"/>
        </w:rPr>
        <w:t xml:space="preserve">Valores empresariales:</w:t>
      </w:r>
      <w:r/>
    </w:p>
    <w:p>
      <w:pPr>
        <w:spacing w:after="0" w:before="0" w:line="360" w:lineRule="auto"/>
        <w:ind w:hanging="482" w:left="850"/>
        <w:rPr/>
      </w:pPr>
      <w:r>
        <w:rPr>
          <w:rFonts w:ascii="Arial" w:hAnsi="Arial"/>
          <w:b w:val="0"/>
          <w:i w:val="0"/>
          <w:color w:val="000000"/>
          <w:sz w:val="24"/>
        </w:rPr>
        <w:t xml:space="preserve">  •  </w:t>
      </w:r>
      <w:r>
        <w:rPr>
          <w:rFonts w:ascii="Arial" w:hAnsi="Arial"/>
          <w:b/>
          <w:i w:val="0"/>
          <w:color w:val="000000"/>
          <w:sz w:val="24"/>
        </w:rPr>
        <w:t xml:space="preserve">Responsabilidad:</w:t>
      </w:r>
      <w:r>
        <w:rPr>
          <w:rFonts w:ascii="Arial" w:hAnsi="Arial"/>
          <w:b w:val="0"/>
          <w:i w:val="0"/>
          <w:color w:val="000000"/>
          <w:sz w:val="24"/>
        </w:rPr>
        <w:t xml:space="preserve"> cumplir los compromisos asumidos con clientes y proveedores.</w:t>
      </w:r>
      <w:r/>
    </w:p>
    <w:p>
      <w:pPr>
        <w:spacing w:after="0" w:before="0" w:line="360" w:lineRule="auto"/>
        <w:ind w:hanging="482" w:left="850"/>
        <w:rPr/>
      </w:pPr>
      <w:r>
        <w:rPr>
          <w:rFonts w:ascii="Arial" w:hAnsi="Arial"/>
          <w:b w:val="0"/>
          <w:i w:val="0"/>
          <w:color w:val="000000"/>
          <w:sz w:val="24"/>
        </w:rPr>
        <w:t xml:space="preserve">  •  </w:t>
      </w:r>
      <w:r>
        <w:rPr>
          <w:rFonts w:ascii="Arial" w:hAnsi="Arial"/>
          <w:b/>
          <w:i w:val="0"/>
          <w:color w:val="000000"/>
          <w:sz w:val="24"/>
        </w:rPr>
        <w:t xml:space="preserve">Creatividad:</w:t>
      </w:r>
      <w:r>
        <w:rPr>
          <w:rFonts w:ascii="Arial" w:hAnsi="Arial"/>
          <w:b w:val="0"/>
          <w:i w:val="0"/>
          <w:color w:val="000000"/>
          <w:sz w:val="24"/>
        </w:rPr>
        <w:t xml:space="preserve"> desarrollar propuestas originales de acuerdo con cada evento.</w:t>
      </w:r>
      <w:r/>
    </w:p>
    <w:p>
      <w:pPr>
        <w:spacing w:after="0" w:before="0" w:line="360" w:lineRule="auto"/>
        <w:ind w:hanging="482" w:left="850"/>
        <w:rPr/>
      </w:pPr>
      <w:r>
        <w:rPr>
          <w:rFonts w:ascii="Arial" w:hAnsi="Arial"/>
          <w:b w:val="0"/>
          <w:i w:val="0"/>
          <w:color w:val="000000"/>
          <w:sz w:val="24"/>
        </w:rPr>
        <w:t xml:space="preserve">  •  </w:t>
      </w:r>
      <w:r>
        <w:rPr>
          <w:rFonts w:ascii="Arial" w:hAnsi="Arial"/>
          <w:b/>
          <w:i w:val="0"/>
          <w:color w:val="000000"/>
          <w:sz w:val="24"/>
        </w:rPr>
        <w:t xml:space="preserve">Transparencia:</w:t>
      </w:r>
      <w:r>
        <w:rPr>
          <w:rFonts w:ascii="Arial" w:hAnsi="Arial"/>
          <w:b w:val="0"/>
          <w:i w:val="0"/>
          <w:color w:val="000000"/>
          <w:sz w:val="24"/>
        </w:rPr>
        <w:t xml:space="preserve"> comunicar claramente los costos, condiciones y alcances del servicio.</w:t>
      </w:r>
      <w:r/>
    </w:p>
    <w:p>
      <w:pPr>
        <w:spacing w:after="0" w:before="0" w:line="360" w:lineRule="auto"/>
        <w:ind w:hanging="482" w:left="850"/>
        <w:rPr/>
      </w:pPr>
      <w:r>
        <w:rPr>
          <w:rFonts w:ascii="Arial" w:hAnsi="Arial"/>
          <w:b w:val="0"/>
          <w:i w:val="0"/>
          <w:color w:val="000000"/>
          <w:sz w:val="24"/>
        </w:rPr>
        <w:t xml:space="preserve">  •  </w:t>
      </w:r>
      <w:r>
        <w:rPr>
          <w:rFonts w:ascii="Arial" w:hAnsi="Arial"/>
          <w:b/>
          <w:i w:val="0"/>
          <w:color w:val="000000"/>
          <w:sz w:val="24"/>
        </w:rPr>
        <w:t xml:space="preserve">Calidad:</w:t>
      </w:r>
      <w:r>
        <w:rPr>
          <w:rFonts w:ascii="Arial" w:hAnsi="Arial"/>
          <w:b w:val="0"/>
          <w:i w:val="0"/>
          <w:color w:val="000000"/>
          <w:sz w:val="24"/>
        </w:rPr>
        <w:t xml:space="preserve"> mantener procedimientos de planificación y control.</w:t>
      </w:r>
      <w:r/>
    </w:p>
    <w:p>
      <w:pPr>
        <w:spacing w:after="0" w:before="0" w:line="360" w:lineRule="auto"/>
        <w:ind w:hanging="482" w:left="850"/>
        <w:rPr/>
      </w:pPr>
      <w:r>
        <w:rPr>
          <w:rFonts w:ascii="Arial" w:hAnsi="Arial"/>
          <w:b w:val="0"/>
          <w:i w:val="0"/>
          <w:color w:val="000000"/>
          <w:sz w:val="24"/>
        </w:rPr>
        <w:t xml:space="preserve">  •  </w:t>
      </w:r>
      <w:r>
        <w:rPr>
          <w:rFonts w:ascii="Arial" w:hAnsi="Arial"/>
          <w:b/>
          <w:i w:val="0"/>
          <w:color w:val="000000"/>
          <w:sz w:val="24"/>
        </w:rPr>
        <w:t xml:space="preserve">Innovación:</w:t>
      </w:r>
      <w:r>
        <w:rPr>
          <w:rFonts w:ascii="Arial" w:hAnsi="Arial"/>
          <w:b w:val="0"/>
          <w:i w:val="0"/>
          <w:color w:val="000000"/>
          <w:sz w:val="24"/>
        </w:rPr>
        <w:t xml:space="preserve"> incorporar herramientas y métodos que mejoren la experiencia del cliente.</w:t>
      </w:r>
      <w:r/>
    </w:p>
    <w:p>
      <w:pPr>
        <w:spacing w:after="0" w:before="0" w:line="360" w:lineRule="auto"/>
        <w:ind w:hanging="482" w:left="850"/>
        <w:rPr/>
      </w:pPr>
      <w:r>
        <w:rPr>
          <w:rFonts w:ascii="Arial" w:hAnsi="Arial"/>
          <w:b w:val="0"/>
          <w:i w:val="0"/>
          <w:color w:val="000000"/>
          <w:sz w:val="24"/>
        </w:rPr>
        <w:t xml:space="preserve">  •  </w:t>
      </w:r>
      <w:r>
        <w:rPr>
          <w:rFonts w:ascii="Arial" w:hAnsi="Arial"/>
          <w:b/>
          <w:i w:val="0"/>
          <w:color w:val="000000"/>
          <w:sz w:val="24"/>
        </w:rPr>
        <w:t xml:space="preserve">Sostenibilidad:</w:t>
      </w:r>
      <w:r>
        <w:rPr>
          <w:rFonts w:ascii="Arial" w:hAnsi="Arial"/>
          <w:b w:val="0"/>
          <w:i w:val="0"/>
          <w:color w:val="000000"/>
          <w:sz w:val="24"/>
        </w:rPr>
        <w:t xml:space="preserve"> promover el uso responsable de materiales y recursos.</w:t>
      </w:r>
      <w:r/>
    </w:p>
    <w:p>
      <w:pPr>
        <w:spacing w:after="0" w:before="0" w:line="360" w:lineRule="auto"/>
        <w:ind w:hanging="482" w:left="850"/>
        <w:rPr/>
      </w:pPr>
      <w:r>
        <w:rPr>
          <w:rFonts w:ascii="Arial" w:hAnsi="Arial"/>
          <w:b w:val="0"/>
          <w:i w:val="0"/>
          <w:color w:val="000000"/>
          <w:sz w:val="24"/>
        </w:rPr>
        <w:t xml:space="preserve">  •  </w:t>
      </w:r>
      <w:r>
        <w:rPr>
          <w:rFonts w:ascii="Arial" w:hAnsi="Arial"/>
          <w:b/>
          <w:i w:val="0"/>
          <w:color w:val="000000"/>
          <w:sz w:val="24"/>
        </w:rPr>
        <w:t xml:space="preserve">Respeto:</w:t>
      </w:r>
      <w:r>
        <w:rPr>
          <w:rFonts w:ascii="Arial" w:hAnsi="Arial"/>
          <w:b w:val="0"/>
          <w:i w:val="0"/>
          <w:color w:val="000000"/>
          <w:sz w:val="24"/>
        </w:rPr>
        <w:t xml:space="preserve"> atender a los clientes sin discriminación y considerar sus preferencias.</w:t>
      </w:r>
      <w:r/>
    </w:p>
    <w:p>
      <w:pPr>
        <w:spacing w:after="0" w:before="0" w:line="360" w:lineRule="auto"/>
        <w:ind w:firstLine="709"/>
        <w:rPr/>
      </w:pPr>
      <w:r>
        <w:rPr>
          <w:rFonts w:ascii="Arial" w:hAnsi="Arial"/>
          <w:b/>
          <w:i w:val="0"/>
          <w:color w:val="000000"/>
          <w:sz w:val="24"/>
        </w:rPr>
        <w:t xml:space="preserve">Objetivo general. </w:t>
      </w:r>
      <w:r>
        <w:rPr>
          <w:rFonts w:ascii="Arial" w:hAnsi="Arial"/>
          <w:b w:val="0"/>
          <w:i/>
          <w:color w:val="000000"/>
          <w:sz w:val="24"/>
        </w:rPr>
        <w:t xml:space="preserve">Implementar el servicio Nova Ex</w:t>
      </w:r>
      <w:r>
        <w:rPr>
          <w:rFonts w:ascii="Arial" w:hAnsi="Arial"/>
          <w:b w:val="0"/>
          <w:i/>
          <w:color w:val="000000"/>
          <w:sz w:val="24"/>
        </w:rPr>
        <w:t xml:space="preserve">perience durante un periodo de seis meses, dirigido a jóvenes adultos de 18 a 30 años de La Paz, mediante una propuesta de eventos temáticos personalizados que combine creatividad, transparencia presupuestaria, promoción digital y coordinación profesional.</w:t>
      </w:r>
      <w:r/>
    </w:p>
    <w:p>
      <w:pPr>
        <w:pStyle w:val="753"/>
        <w:spacing/>
        <w:ind/>
        <w:rPr/>
      </w:pPr>
      <w:r/>
      <w:bookmarkStart w:id="9" w:name="_Toc9"/>
      <w:r>
        <w:rPr>
          <w:rFonts w:ascii="Arial" w:hAnsi="Arial"/>
          <w:color w:val="000000"/>
        </w:rPr>
        <w:t xml:space="preserve">3.2 Establecimiento de los Objetivos Estratégicos</w:t>
      </w:r>
      <w:r/>
      <w:bookmarkEnd w:id="9"/>
      <w:r/>
      <w:r/>
    </w:p>
    <w:p>
      <w:pPr>
        <w:spacing w:after="0" w:before="0" w:line="360" w:lineRule="auto"/>
        <w:ind w:firstLine="709"/>
        <w:rPr/>
      </w:pPr>
      <w:r>
        <w:rPr>
          <w:rFonts w:ascii="Arial" w:hAnsi="Arial"/>
          <w:b w:val="0"/>
          <w:i w:val="0"/>
          <w:color w:val="000000"/>
          <w:sz w:val="24"/>
        </w:rPr>
        <w:t xml:space="preserve">El objetivo </w:t>
      </w:r>
      <w:r>
        <w:rPr>
          <w:rFonts w:ascii="Arial" w:hAnsi="Arial"/>
          <w:b w:val="0"/>
          <w:i w:val="0"/>
          <w:color w:val="000000"/>
          <w:sz w:val="24"/>
        </w:rPr>
        <w:t xml:space="preserve">general se desglosa en objetivos específicos que cumplen los criterios SMART y se clasifican en las cuatro perspectivas del Balanced Scorecard (Kaplan y Norton, 1996). De este modo, cada meta tiene un indicador y un plazo verificables (David et al., 2020):</w:t>
      </w:r>
      <w:r/>
    </w:p>
    <w:p>
      <w:pPr>
        <w:keepNext w:val="true"/>
        <w:spacing w:after="60" w:before="120"/>
        <w:ind w:firstLine="0"/>
        <w:jc w:val="left"/>
        <w:rPr/>
      </w:pPr>
      <w:r>
        <w:rPr>
          <w:rFonts w:ascii="Arial" w:hAnsi="Arial"/>
          <w:b/>
          <w:i/>
          <w:color w:val="000000"/>
          <w:sz w:val="20"/>
        </w:rPr>
        <w:t xml:space="preserve">Tabla 3. Objetivos estratégicos de Nova Eventos.</w:t>
      </w:r>
      <w:r/>
    </w:p>
    <w:tbl>
      <w:tblPr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381"/>
        <w:gridCol w:w="4535"/>
        <w:gridCol w:w="2154"/>
      </w:tblGrid>
      <w:tr>
        <w:trPr>
          <w:cantSplit/>
          <w:tblHeader/>
        </w:trPr>
        <w:tc>
          <w:tcPr>
            <w:tcBorders>
              <w:top w:val="single" w:color="000000" w:sz="6" w:space="0"/>
              <w:bottom w:val="single" w:color="000000" w:sz="6" w:space="0"/>
            </w:tcBorders>
            <w:tcW w:w="2381" w:type="dxa"/>
          </w:tcPr>
          <w:p>
            <w:pPr>
              <w:spacing w:after="40" w:before="40" w:line="240" w:lineRule="auto"/>
              <w:ind w:firstLine="0"/>
              <w:jc w:val="left"/>
              <w:rPr/>
            </w:pPr>
            <w:r>
              <w:rPr>
                <w:rFonts w:ascii="Arial" w:hAnsi="Arial"/>
                <w:b/>
                <w:color w:val="000000"/>
                <w:sz w:val="20"/>
              </w:rPr>
              <w:t xml:space="preserve">Objetivo estratégico</w:t>
            </w:r>
            <w:r/>
          </w:p>
        </w:tc>
        <w:tc>
          <w:tcPr>
            <w:tcBorders>
              <w:top w:val="single" w:color="000000" w:sz="6" w:space="0"/>
              <w:bottom w:val="single" w:color="000000" w:sz="6" w:space="0"/>
            </w:tcBorders>
            <w:tcW w:w="4535" w:type="dxa"/>
          </w:tcPr>
          <w:p>
            <w:pPr>
              <w:spacing w:after="40" w:before="40" w:line="240" w:lineRule="auto"/>
              <w:ind w:firstLine="0"/>
              <w:jc w:val="left"/>
              <w:rPr/>
            </w:pPr>
            <w:r>
              <w:rPr>
                <w:rFonts w:ascii="Arial" w:hAnsi="Arial"/>
                <w:b/>
                <w:color w:val="000000"/>
                <w:sz w:val="20"/>
              </w:rPr>
              <w:t xml:space="preserve">Meta y plazo (criterio SMART)</w:t>
            </w:r>
            <w:r/>
          </w:p>
        </w:tc>
        <w:tc>
          <w:tcPr>
            <w:tcBorders>
              <w:top w:val="single" w:color="000000" w:sz="6" w:space="0"/>
              <w:bottom w:val="single" w:color="000000" w:sz="6" w:space="0"/>
            </w:tcBorders>
            <w:tcW w:w="2154" w:type="dxa"/>
          </w:tcPr>
          <w:p>
            <w:pPr>
              <w:spacing w:after="40" w:before="40" w:line="240" w:lineRule="auto"/>
              <w:ind w:firstLine="0"/>
              <w:jc w:val="left"/>
              <w:rPr/>
            </w:pPr>
            <w:r>
              <w:rPr>
                <w:rFonts w:ascii="Arial" w:hAnsi="Arial"/>
                <w:b/>
                <w:color w:val="000000"/>
                <w:sz w:val="20"/>
              </w:rPr>
              <w:t xml:space="preserve">Perspectiva (Balanced Scorecard)</w:t>
            </w:r>
            <w:r/>
          </w:p>
        </w:tc>
      </w:tr>
      <w:tr>
        <w:trPr>
          <w:cantSplit/>
        </w:trPr>
        <w:tc>
          <w:tcPr>
            <w:tcBorders/>
            <w:tcW w:w="2381" w:type="dxa"/>
          </w:tcPr>
          <w:p>
            <w:pPr>
              <w:spacing w:after="40" w:before="40" w:line="240" w:lineRule="auto"/>
              <w:ind w:firstLine="0"/>
              <w:jc w:val="left"/>
              <w:rPr/>
            </w:pPr>
            <w:r>
              <w:rPr>
                <w:rFonts w:ascii="Arial" w:hAnsi="Arial"/>
                <w:b w:val="0"/>
                <w:color w:val="000000"/>
                <w:sz w:val="20"/>
              </w:rPr>
              <w:t xml:space="preserve">Investigación del segmento</w:t>
            </w:r>
            <w:r/>
          </w:p>
        </w:tc>
        <w:tc>
          <w:tcPr>
            <w:tcBorders/>
            <w:tcW w:w="4535" w:type="dxa"/>
          </w:tcPr>
          <w:p>
            <w:pPr>
              <w:spacing w:after="40" w:before="40" w:line="240" w:lineRule="auto"/>
              <w:ind w:firstLine="0"/>
              <w:jc w:val="left"/>
              <w:rPr/>
            </w:pPr>
            <w:r>
              <w:rPr>
                <w:rFonts w:ascii="Arial" w:hAnsi="Arial"/>
                <w:b w:val="0"/>
                <w:color w:val="000000"/>
                <w:sz w:val="20"/>
              </w:rPr>
              <w:t xml:space="preserve">100 encuestas exploratorias a jóvenes de 18 a 30 años durante el mes 1</w:t>
            </w:r>
            <w:r/>
          </w:p>
        </w:tc>
        <w:tc>
          <w:tcPr>
            <w:tcBorders/>
            <w:tcW w:w="2154" w:type="dxa"/>
          </w:tcPr>
          <w:p>
            <w:pPr>
              <w:spacing w:after="40" w:before="40" w:line="240" w:lineRule="auto"/>
              <w:ind w:firstLine="0"/>
              <w:jc w:val="left"/>
              <w:rPr/>
            </w:pPr>
            <w:r>
              <w:rPr>
                <w:rFonts w:ascii="Arial" w:hAnsi="Arial"/>
                <w:b w:val="0"/>
                <w:color w:val="000000"/>
                <w:sz w:val="20"/>
              </w:rPr>
              <w:t xml:space="preserve">Cliente</w:t>
            </w:r>
            <w:r/>
          </w:p>
        </w:tc>
      </w:tr>
      <w:tr>
        <w:trPr>
          <w:cantSplit/>
        </w:trPr>
        <w:tc>
          <w:tcPr>
            <w:tcBorders/>
            <w:tcW w:w="2381" w:type="dxa"/>
          </w:tcPr>
          <w:p>
            <w:pPr>
              <w:spacing w:after="40" w:before="40" w:line="240" w:lineRule="auto"/>
              <w:ind w:firstLine="0"/>
              <w:jc w:val="left"/>
              <w:rPr/>
            </w:pPr>
            <w:r>
              <w:rPr>
                <w:rFonts w:ascii="Arial" w:hAnsi="Arial"/>
                <w:b w:val="0"/>
                <w:color w:val="000000"/>
                <w:sz w:val="20"/>
              </w:rPr>
              <w:t xml:space="preserve">Diseño de la oferta comercial</w:t>
            </w:r>
            <w:r/>
          </w:p>
        </w:tc>
        <w:tc>
          <w:tcPr>
            <w:tcBorders/>
            <w:tcW w:w="4535" w:type="dxa"/>
          </w:tcPr>
          <w:p>
            <w:pPr>
              <w:spacing w:after="40" w:before="40" w:line="240" w:lineRule="auto"/>
              <w:ind w:firstLine="0"/>
              <w:jc w:val="left"/>
              <w:rPr/>
            </w:pPr>
            <w:r>
              <w:rPr>
                <w:rFonts w:ascii="Arial" w:hAnsi="Arial"/>
                <w:b w:val="0"/>
                <w:color w:val="000000"/>
                <w:sz w:val="20"/>
              </w:rPr>
              <w:t xml:space="preserve">3 paquetes diferenciados en los meses 1 y 2</w:t>
            </w:r>
            <w:r/>
          </w:p>
        </w:tc>
        <w:tc>
          <w:tcPr>
            <w:tcBorders/>
            <w:tcW w:w="2154" w:type="dxa"/>
          </w:tcPr>
          <w:p>
            <w:pPr>
              <w:spacing w:after="40" w:before="40" w:line="240" w:lineRule="auto"/>
              <w:ind w:firstLine="0"/>
              <w:jc w:val="left"/>
              <w:rPr/>
            </w:pPr>
            <w:r>
              <w:rPr>
                <w:rFonts w:ascii="Arial" w:hAnsi="Arial"/>
                <w:b w:val="0"/>
                <w:color w:val="000000"/>
                <w:sz w:val="20"/>
              </w:rPr>
              <w:t xml:space="preserve">Procesos internos</w:t>
            </w:r>
            <w:r/>
          </w:p>
        </w:tc>
      </w:tr>
      <w:tr>
        <w:trPr>
          <w:cantSplit/>
        </w:trPr>
        <w:tc>
          <w:tcPr>
            <w:tcBorders/>
            <w:tcW w:w="2381" w:type="dxa"/>
          </w:tcPr>
          <w:p>
            <w:pPr>
              <w:spacing w:after="40" w:before="40" w:line="240" w:lineRule="auto"/>
              <w:ind w:firstLine="0"/>
              <w:jc w:val="left"/>
              <w:rPr/>
            </w:pPr>
            <w:r>
              <w:rPr>
                <w:rFonts w:ascii="Arial" w:hAnsi="Arial"/>
                <w:b w:val="0"/>
                <w:color w:val="000000"/>
                <w:sz w:val="20"/>
              </w:rPr>
              <w:t xml:space="preserve">Alianzas con proveedores</w:t>
            </w:r>
            <w:r/>
          </w:p>
        </w:tc>
        <w:tc>
          <w:tcPr>
            <w:tcBorders/>
            <w:tcW w:w="4535" w:type="dxa"/>
          </w:tcPr>
          <w:p>
            <w:pPr>
              <w:spacing w:after="40" w:before="40" w:line="240" w:lineRule="auto"/>
              <w:ind w:firstLine="0"/>
              <w:jc w:val="left"/>
              <w:rPr/>
            </w:pPr>
            <w:r>
              <w:rPr>
                <w:rFonts w:ascii="Arial" w:hAnsi="Arial"/>
                <w:b w:val="0"/>
                <w:color w:val="000000"/>
                <w:sz w:val="20"/>
              </w:rPr>
              <w:t xml:space="preserve">Al menos 5 proveedores aliados durante los primeros 3 meses</w:t>
            </w:r>
            <w:r/>
          </w:p>
        </w:tc>
        <w:tc>
          <w:tcPr>
            <w:tcBorders/>
            <w:tcW w:w="2154" w:type="dxa"/>
          </w:tcPr>
          <w:p>
            <w:pPr>
              <w:spacing w:after="40" w:before="40" w:line="240" w:lineRule="auto"/>
              <w:ind w:firstLine="0"/>
              <w:jc w:val="left"/>
              <w:rPr/>
            </w:pPr>
            <w:r>
              <w:rPr>
                <w:rFonts w:ascii="Arial" w:hAnsi="Arial"/>
                <w:b w:val="0"/>
                <w:color w:val="000000"/>
                <w:sz w:val="20"/>
              </w:rPr>
              <w:t xml:space="preserve">Procesos internos</w:t>
            </w:r>
            <w:r/>
          </w:p>
        </w:tc>
      </w:tr>
      <w:tr>
        <w:trPr>
          <w:cantSplit/>
        </w:trPr>
        <w:tc>
          <w:tcPr>
            <w:tcBorders/>
            <w:tcW w:w="2381" w:type="dxa"/>
          </w:tcPr>
          <w:p>
            <w:pPr>
              <w:spacing w:after="40" w:before="40" w:line="240" w:lineRule="auto"/>
              <w:ind w:firstLine="0"/>
              <w:jc w:val="left"/>
              <w:rPr/>
            </w:pPr>
            <w:r>
              <w:rPr>
                <w:rFonts w:ascii="Arial" w:hAnsi="Arial"/>
                <w:b w:val="0"/>
                <w:color w:val="000000"/>
                <w:sz w:val="20"/>
              </w:rPr>
              <w:t xml:space="preserve">Validación del servicio</w:t>
            </w:r>
            <w:r/>
          </w:p>
        </w:tc>
        <w:tc>
          <w:tcPr>
            <w:tcBorders/>
            <w:tcW w:w="4535" w:type="dxa"/>
          </w:tcPr>
          <w:p>
            <w:pPr>
              <w:spacing w:after="40" w:before="40" w:line="240" w:lineRule="auto"/>
              <w:ind w:firstLine="0"/>
              <w:jc w:val="left"/>
              <w:rPr/>
            </w:pPr>
            <w:r>
              <w:rPr>
                <w:rFonts w:ascii="Arial" w:hAnsi="Arial"/>
                <w:b w:val="0"/>
                <w:color w:val="000000"/>
                <w:sz w:val="20"/>
              </w:rPr>
              <w:t xml:space="preserve">Mínimo 3 eventos piloto en los meses 4 y 5</w:t>
            </w:r>
            <w:r/>
          </w:p>
        </w:tc>
        <w:tc>
          <w:tcPr>
            <w:tcBorders/>
            <w:tcW w:w="2154" w:type="dxa"/>
          </w:tcPr>
          <w:p>
            <w:pPr>
              <w:spacing w:after="40" w:before="40" w:line="240" w:lineRule="auto"/>
              <w:ind w:firstLine="0"/>
              <w:jc w:val="left"/>
              <w:rPr/>
            </w:pPr>
            <w:r>
              <w:rPr>
                <w:rFonts w:ascii="Arial" w:hAnsi="Arial"/>
                <w:b w:val="0"/>
                <w:color w:val="000000"/>
                <w:sz w:val="20"/>
              </w:rPr>
              <w:t xml:space="preserve">Cliente</w:t>
            </w:r>
            <w:r/>
          </w:p>
        </w:tc>
      </w:tr>
      <w:tr>
        <w:trPr>
          <w:cantSplit/>
        </w:trPr>
        <w:tc>
          <w:tcPr>
            <w:tcBorders/>
            <w:tcW w:w="2381" w:type="dxa"/>
          </w:tcPr>
          <w:p>
            <w:pPr>
              <w:spacing w:after="40" w:before="40" w:line="240" w:lineRule="auto"/>
              <w:ind w:firstLine="0"/>
              <w:jc w:val="left"/>
              <w:rPr/>
            </w:pPr>
            <w:r>
              <w:rPr>
                <w:rFonts w:ascii="Arial" w:hAnsi="Arial"/>
                <w:b w:val="0"/>
                <w:color w:val="000000"/>
                <w:sz w:val="20"/>
              </w:rPr>
              <w:t xml:space="preserve">Resultado comercial</w:t>
            </w:r>
            <w:r/>
          </w:p>
        </w:tc>
        <w:tc>
          <w:tcPr>
            <w:tcBorders/>
            <w:tcW w:w="4535" w:type="dxa"/>
          </w:tcPr>
          <w:p>
            <w:pPr>
              <w:spacing w:after="40" w:before="40" w:line="240" w:lineRule="auto"/>
              <w:ind w:firstLine="0"/>
              <w:jc w:val="left"/>
              <w:rPr/>
            </w:pPr>
            <w:r>
              <w:rPr>
                <w:rFonts w:ascii="Arial" w:hAnsi="Arial"/>
                <w:b w:val="0"/>
                <w:color w:val="000000"/>
                <w:sz w:val="20"/>
              </w:rPr>
              <w:t xml:space="preserve">12 contratos pagados acumulados en 6 meses</w:t>
            </w:r>
            <w:r/>
          </w:p>
        </w:tc>
        <w:tc>
          <w:tcPr>
            <w:tcBorders/>
            <w:tcW w:w="2154" w:type="dxa"/>
          </w:tcPr>
          <w:p>
            <w:pPr>
              <w:spacing w:after="40" w:before="40" w:line="240" w:lineRule="auto"/>
              <w:ind w:firstLine="0"/>
              <w:jc w:val="left"/>
              <w:rPr/>
            </w:pPr>
            <w:r>
              <w:rPr>
                <w:rFonts w:ascii="Arial" w:hAnsi="Arial"/>
                <w:b w:val="0"/>
                <w:color w:val="000000"/>
                <w:sz w:val="20"/>
              </w:rPr>
              <w:t xml:space="preserve">Financiera</w:t>
            </w:r>
            <w:r/>
          </w:p>
        </w:tc>
      </w:tr>
      <w:tr>
        <w:trPr>
          <w:cantSplit/>
        </w:trPr>
        <w:tc>
          <w:tcPr>
            <w:tcBorders/>
            <w:tcW w:w="2381" w:type="dxa"/>
          </w:tcPr>
          <w:p>
            <w:pPr>
              <w:spacing w:after="40" w:before="40" w:line="240" w:lineRule="auto"/>
              <w:ind w:firstLine="0"/>
              <w:jc w:val="left"/>
              <w:rPr/>
            </w:pPr>
            <w:r>
              <w:rPr>
                <w:rFonts w:ascii="Arial" w:hAnsi="Arial"/>
                <w:b w:val="0"/>
                <w:color w:val="000000"/>
                <w:sz w:val="20"/>
              </w:rPr>
              <w:t xml:space="preserve">Satisfacción del cliente</w:t>
            </w:r>
            <w:r/>
          </w:p>
        </w:tc>
        <w:tc>
          <w:tcPr>
            <w:tcBorders/>
            <w:tcW w:w="4535" w:type="dxa"/>
          </w:tcPr>
          <w:p>
            <w:pPr>
              <w:spacing w:after="40" w:before="40" w:line="240" w:lineRule="auto"/>
              <w:ind w:firstLine="0"/>
              <w:jc w:val="left"/>
              <w:rPr/>
            </w:pPr>
            <w:r>
              <w:rPr>
                <w:rFonts w:ascii="Arial" w:hAnsi="Arial"/>
                <w:b w:val="0"/>
                <w:color w:val="000000"/>
                <w:sz w:val="20"/>
              </w:rPr>
              <w:t xml:space="preserve">Calificación promedio igual o superior a 4,5 / 5 tras cada evento</w:t>
            </w:r>
            <w:r/>
          </w:p>
        </w:tc>
        <w:tc>
          <w:tcPr>
            <w:tcBorders/>
            <w:tcW w:w="2154" w:type="dxa"/>
          </w:tcPr>
          <w:p>
            <w:pPr>
              <w:spacing w:after="40" w:before="40" w:line="240" w:lineRule="auto"/>
              <w:ind w:firstLine="0"/>
              <w:jc w:val="left"/>
              <w:rPr/>
            </w:pPr>
            <w:r>
              <w:rPr>
                <w:rFonts w:ascii="Arial" w:hAnsi="Arial"/>
                <w:b w:val="0"/>
                <w:color w:val="000000"/>
                <w:sz w:val="20"/>
              </w:rPr>
              <w:t xml:space="preserve">Cliente</w:t>
            </w:r>
            <w:r/>
          </w:p>
        </w:tc>
      </w:tr>
      <w:tr>
        <w:trPr>
          <w:cantSplit/>
        </w:trPr>
        <w:tc>
          <w:tcPr>
            <w:tcBorders/>
            <w:tcW w:w="2381" w:type="dxa"/>
          </w:tcPr>
          <w:p>
            <w:pPr>
              <w:spacing w:after="40" w:before="40" w:line="240" w:lineRule="auto"/>
              <w:ind w:firstLine="0"/>
              <w:jc w:val="left"/>
              <w:rPr/>
            </w:pPr>
            <w:r>
              <w:rPr>
                <w:rFonts w:ascii="Arial" w:hAnsi="Arial"/>
                <w:b w:val="0"/>
                <w:color w:val="000000"/>
                <w:sz w:val="20"/>
              </w:rPr>
              <w:t xml:space="preserve">Cumplimiento operativo</w:t>
            </w:r>
            <w:r/>
          </w:p>
        </w:tc>
        <w:tc>
          <w:tcPr>
            <w:tcBorders/>
            <w:tcW w:w="4535" w:type="dxa"/>
          </w:tcPr>
          <w:p>
            <w:pPr>
              <w:spacing w:after="40" w:before="40" w:line="240" w:lineRule="auto"/>
              <w:ind w:firstLine="0"/>
              <w:jc w:val="left"/>
              <w:rPr/>
            </w:pPr>
            <w:r>
              <w:rPr>
                <w:rFonts w:ascii="Arial" w:hAnsi="Arial"/>
                <w:b w:val="0"/>
                <w:color w:val="000000"/>
                <w:sz w:val="20"/>
              </w:rPr>
              <w:t xml:space="preserve">90 % de eventos ejecutados conforme al cronograma en el primer semestre</w:t>
            </w:r>
            <w:r/>
          </w:p>
        </w:tc>
        <w:tc>
          <w:tcPr>
            <w:tcBorders/>
            <w:tcW w:w="2154" w:type="dxa"/>
          </w:tcPr>
          <w:p>
            <w:pPr>
              <w:spacing w:after="40" w:before="40" w:line="240" w:lineRule="auto"/>
              <w:ind w:firstLine="0"/>
              <w:jc w:val="left"/>
              <w:rPr/>
            </w:pPr>
            <w:r>
              <w:rPr>
                <w:rFonts w:ascii="Arial" w:hAnsi="Arial"/>
                <w:b w:val="0"/>
                <w:color w:val="000000"/>
                <w:sz w:val="20"/>
              </w:rPr>
              <w:t xml:space="preserve">Procesos internos</w:t>
            </w:r>
            <w:r/>
          </w:p>
        </w:tc>
      </w:tr>
      <w:tr>
        <w:trPr>
          <w:cantSplit/>
        </w:trPr>
        <w:tc>
          <w:tcPr>
            <w:tcBorders>
              <w:bottom w:val="single" w:color="000000" w:sz="6" w:space="0"/>
            </w:tcBorders>
            <w:tcW w:w="2381" w:type="dxa"/>
          </w:tcPr>
          <w:p>
            <w:pPr>
              <w:spacing w:after="40" w:before="40" w:line="240" w:lineRule="auto"/>
              <w:ind w:firstLine="0"/>
              <w:jc w:val="left"/>
              <w:rPr/>
            </w:pPr>
            <w:r>
              <w:rPr>
                <w:rFonts w:ascii="Arial" w:hAnsi="Arial"/>
                <w:b w:val="0"/>
                <w:color w:val="000000"/>
                <w:sz w:val="20"/>
              </w:rPr>
              <w:t xml:space="preserve">Desarrollo del equipo</w:t>
            </w:r>
            <w:r/>
          </w:p>
        </w:tc>
        <w:tc>
          <w:tcPr>
            <w:tcBorders>
              <w:bottom w:val="single" w:color="000000" w:sz="6" w:space="0"/>
            </w:tcBorders>
            <w:tcW w:w="4535" w:type="dxa"/>
          </w:tcPr>
          <w:p>
            <w:pPr>
              <w:spacing w:after="40" w:before="40" w:line="240" w:lineRule="auto"/>
              <w:ind w:firstLine="0"/>
              <w:jc w:val="left"/>
              <w:rPr/>
            </w:pPr>
            <w:r>
              <w:rPr>
                <w:rFonts w:ascii="Arial" w:hAnsi="Arial"/>
                <w:b w:val="0"/>
                <w:color w:val="000000"/>
                <w:sz w:val="20"/>
              </w:rPr>
              <w:t xml:space="preserve">100 % del personal involucrado capacitado antes del lanzamiento</w:t>
            </w:r>
            <w:r/>
          </w:p>
        </w:tc>
        <w:tc>
          <w:tcPr>
            <w:tcBorders>
              <w:bottom w:val="single" w:color="000000" w:sz="6" w:space="0"/>
            </w:tcBorders>
            <w:tcW w:w="2154" w:type="dxa"/>
          </w:tcPr>
          <w:p>
            <w:pPr>
              <w:spacing w:after="40" w:before="40" w:line="240" w:lineRule="auto"/>
              <w:ind w:firstLine="0"/>
              <w:jc w:val="left"/>
              <w:rPr/>
            </w:pPr>
            <w:r>
              <w:rPr>
                <w:rFonts w:ascii="Arial" w:hAnsi="Arial"/>
                <w:b w:val="0"/>
                <w:color w:val="000000"/>
                <w:sz w:val="20"/>
              </w:rPr>
              <w:t xml:space="preserve">Aprendizaje y Crecimiento</w:t>
            </w:r>
            <w:r/>
          </w:p>
        </w:tc>
      </w:tr>
    </w:tbl>
    <w:p>
      <w:pPr>
        <w:spacing w:before="60"/>
        <w:ind w:firstLine="0"/>
        <w:jc w:val="left"/>
        <w:rPr/>
      </w:pPr>
      <w:r>
        <w:rPr>
          <w:rFonts w:ascii="Arial" w:hAnsi="Arial"/>
          <w:i/>
          <w:color w:val="000000"/>
          <w:sz w:val="18"/>
        </w:rPr>
        <w:t xml:space="preserve">Elaboración propia a partir de los objetivos del proyecto; las metas son estimaciones de gestión sujetas a validación de mercado (David et al., 2020; Kaplan y Norton, 1996).</w:t>
      </w:r>
      <w:r/>
    </w:p>
    <w:p>
      <w:pPr>
        <w:spacing w:after="0" w:before="0" w:line="360" w:lineRule="auto"/>
        <w:ind w:firstLine="709"/>
        <w:rPr/>
      </w:pPr>
      <w:r>
        <w:rPr>
          <w:rFonts w:ascii="Arial" w:hAnsi="Arial"/>
          <w:b w:val="0"/>
          <w:i w:val="0"/>
          <w:color w:val="000000"/>
          <w:sz w:val="24"/>
        </w:rPr>
        <w:t xml:space="preserve">Los objetivos conectan las metas de negocio con la operación diaria: la meta de 12 contratos se vincula con la perspectiva financiera, la satisfacción de 4,5 / 5 con la perspectiva del cliente y la capacitación del equipo con el aprendizaje y crecimiento.</w:t>
      </w:r>
      <w:r/>
    </w:p>
    <w:p>
      <w:pPr>
        <w:pStyle w:val="753"/>
        <w:spacing/>
        <w:ind/>
        <w:rPr/>
      </w:pPr>
      <w:r/>
      <w:bookmarkStart w:id="10" w:name="_Toc10"/>
      <w:r>
        <w:rPr>
          <w:rFonts w:ascii="Arial" w:hAnsi="Arial"/>
          <w:color w:val="000000"/>
        </w:rPr>
        <w:t xml:space="preserve">3.3 Matriz BCG Aplicada al Portafolio de Servicios</w:t>
      </w:r>
      <w:r/>
      <w:bookmarkEnd w:id="10"/>
      <w:r/>
      <w:r/>
    </w:p>
    <w:p>
      <w:pPr>
        <w:spacing w:after="0" w:before="0" w:line="360" w:lineRule="auto"/>
        <w:ind w:firstLine="709"/>
        <w:rPr/>
      </w:pPr>
      <w:r>
        <w:rPr>
          <w:rFonts w:ascii="Arial" w:hAnsi="Arial"/>
          <w:b w:val="0"/>
          <w:i w:val="0"/>
          <w:color w:val="000000"/>
          <w:sz w:val="24"/>
        </w:rPr>
        <w:t xml:space="preserve">Para priorizar el uso de sus recursos, Nova Eventos aplica la matriz BCG a sus líneas de servicio (Henderson, 1970; Kotler y Keller, 2016). El primer paso c</w:t>
      </w:r>
      <w:r>
        <w:rPr>
          <w:rFonts w:ascii="Arial" w:hAnsi="Arial"/>
          <w:b w:val="0"/>
          <w:i w:val="0"/>
          <w:color w:val="000000"/>
          <w:sz w:val="24"/>
        </w:rPr>
        <w:t xml:space="preserve">onsiste en identificar las líneas de negocio; el segundo, estimar la cuota relativa de mercado comparando sus ventas con las del competidor de referencia; el tercero, determinar el crecimiento del segmento; y el cuarto, representar cada línea en la matriz.</w:t>
      </w:r>
      <w:r/>
    </w:p>
    <w:p>
      <w:pPr>
        <w:spacing w:after="0" w:before="0" w:line="360" w:lineRule="auto"/>
        <w:ind w:firstLine="709"/>
        <w:rPr/>
      </w:pPr>
      <w:r>
        <w:rPr>
          <w:rFonts w:ascii="Arial" w:hAnsi="Arial"/>
          <w:b w:val="0"/>
          <w:i w:val="0"/>
          <w:color w:val="000000"/>
          <w:sz w:val="24"/>
        </w:rPr>
        <w:t xml:space="preserve">Como empresa en lanzamiento, </w:t>
      </w:r>
      <w:r>
        <w:rPr>
          <w:rFonts w:ascii="Arial" w:hAnsi="Arial"/>
          <w:b w:val="0"/>
          <w:i w:val="0"/>
          <w:color w:val="000000"/>
          <w:sz w:val="24"/>
        </w:rPr>
        <w:t xml:space="preserve">Nova Eventos no cuenta todavía con ventas históricas del nuevo servicio; por ello, la participación relativa se estima de manera preliminar a partir de la base actual de clientes y de la encuesta exploratoria a 100 personas, sin utilizar cifras inventadas.</w:t>
      </w:r>
      <w:r/>
    </w:p>
    <w:p>
      <w:pPr>
        <w:keepNext w:val="true"/>
        <w:spacing w:after="60" w:before="120"/>
        <w:ind w:firstLine="0"/>
        <w:jc w:val="left"/>
        <w:rPr/>
      </w:pPr>
      <w:r>
        <w:rPr>
          <w:rFonts w:ascii="Arial" w:hAnsi="Arial"/>
          <w:b/>
          <w:i/>
          <w:color w:val="000000"/>
          <w:sz w:val="20"/>
        </w:rPr>
        <w:t xml:space="preserve">Tabla 4. Matriz BCG aplicada al portafolio de Nova Eventos.</w:t>
      </w:r>
      <w:r/>
    </w:p>
    <w:tbl>
      <w:tblPr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381"/>
        <w:gridCol w:w="1474"/>
        <w:gridCol w:w="1814"/>
        <w:gridCol w:w="1701"/>
        <w:gridCol w:w="1701"/>
      </w:tblGrid>
      <w:tr>
        <w:trPr>
          <w:cantSplit/>
          <w:tblHeader/>
        </w:trPr>
        <w:tc>
          <w:tcPr>
            <w:tcBorders>
              <w:top w:val="single" w:color="000000" w:sz="6" w:space="0"/>
              <w:bottom w:val="single" w:color="000000" w:sz="6" w:space="0"/>
            </w:tcBorders>
            <w:tcW w:w="2381" w:type="dxa"/>
          </w:tcPr>
          <w:p>
            <w:pPr>
              <w:spacing w:after="40" w:before="40" w:line="240" w:lineRule="auto"/>
              <w:ind w:firstLine="0"/>
              <w:jc w:val="left"/>
              <w:rPr/>
            </w:pPr>
            <w:r>
              <w:rPr>
                <w:rFonts w:ascii="Arial" w:hAnsi="Arial"/>
                <w:b/>
                <w:color w:val="000000"/>
                <w:sz w:val="20"/>
              </w:rPr>
              <w:t xml:space="preserve">Línea de servicio</w:t>
            </w:r>
            <w:r/>
          </w:p>
        </w:tc>
        <w:tc>
          <w:tcPr>
            <w:tcBorders>
              <w:top w:val="single" w:color="000000" w:sz="6" w:space="0"/>
              <w:bottom w:val="single" w:color="000000" w:sz="6" w:space="0"/>
            </w:tcBorders>
            <w:tcW w:w="1474" w:type="dxa"/>
          </w:tcPr>
          <w:p>
            <w:pPr>
              <w:spacing w:after="40" w:before="40" w:line="240" w:lineRule="auto"/>
              <w:ind w:firstLine="0"/>
              <w:jc w:val="left"/>
              <w:rPr/>
            </w:pPr>
            <w:r>
              <w:rPr>
                <w:rFonts w:ascii="Arial" w:hAnsi="Arial"/>
                <w:b/>
                <w:color w:val="000000"/>
                <w:sz w:val="20"/>
              </w:rPr>
              <w:t xml:space="preserve">Crecimiento del segmento</w:t>
            </w:r>
            <w:r/>
          </w:p>
        </w:tc>
        <w:tc>
          <w:tcPr>
            <w:tcBorders>
              <w:top w:val="single" w:color="000000" w:sz="6" w:space="0"/>
              <w:bottom w:val="single" w:color="000000" w:sz="6" w:space="0"/>
            </w:tcBorders>
            <w:tcW w:w="1814" w:type="dxa"/>
          </w:tcPr>
          <w:p>
            <w:pPr>
              <w:spacing w:after="40" w:before="40" w:line="240" w:lineRule="auto"/>
              <w:ind w:firstLine="0"/>
              <w:jc w:val="left"/>
              <w:rPr/>
            </w:pPr>
            <w:r>
              <w:rPr>
                <w:rFonts w:ascii="Arial" w:hAnsi="Arial"/>
                <w:b/>
                <w:color w:val="000000"/>
                <w:sz w:val="20"/>
              </w:rPr>
              <w:t xml:space="preserve">Participación relativa</w:t>
            </w:r>
            <w:r/>
          </w:p>
        </w:tc>
        <w:tc>
          <w:tcPr>
            <w:tcBorders>
              <w:top w:val="single" w:color="000000" w:sz="6" w:space="0"/>
              <w:bottom w:val="single" w:color="000000" w:sz="6" w:space="0"/>
            </w:tcBorders>
            <w:tcW w:w="1701" w:type="dxa"/>
          </w:tcPr>
          <w:p>
            <w:pPr>
              <w:spacing w:after="40" w:before="40" w:line="240" w:lineRule="auto"/>
              <w:ind w:firstLine="0"/>
              <w:jc w:val="left"/>
              <w:rPr/>
            </w:pPr>
            <w:r>
              <w:rPr>
                <w:rFonts w:ascii="Arial" w:hAnsi="Arial"/>
                <w:b/>
                <w:color w:val="000000"/>
                <w:sz w:val="20"/>
              </w:rPr>
              <w:t xml:space="preserve">Cuadrante</w:t>
            </w:r>
            <w:r/>
          </w:p>
        </w:tc>
        <w:tc>
          <w:tcPr>
            <w:tcBorders>
              <w:top w:val="single" w:color="000000" w:sz="6" w:space="0"/>
              <w:bottom w:val="single" w:color="000000" w:sz="6" w:space="0"/>
            </w:tcBorders>
            <w:tcW w:w="1701" w:type="dxa"/>
          </w:tcPr>
          <w:p>
            <w:pPr>
              <w:spacing w:after="40" w:before="40" w:line="240" w:lineRule="auto"/>
              <w:ind w:firstLine="0"/>
              <w:jc w:val="left"/>
              <w:rPr/>
            </w:pPr>
            <w:r>
              <w:rPr>
                <w:rFonts w:ascii="Arial" w:hAnsi="Arial"/>
                <w:b/>
                <w:color w:val="000000"/>
                <w:sz w:val="20"/>
              </w:rPr>
              <w:t xml:space="preserve">Estrategia recomendada</w:t>
            </w:r>
            <w:r/>
          </w:p>
        </w:tc>
      </w:tr>
      <w:tr>
        <w:trPr>
          <w:cantSplit/>
        </w:trPr>
        <w:tc>
          <w:tcPr>
            <w:tcBorders/>
            <w:tcW w:w="2381" w:type="dxa"/>
          </w:tcPr>
          <w:p>
            <w:pPr>
              <w:spacing w:after="40" w:before="40" w:line="240" w:lineRule="auto"/>
              <w:ind w:firstLine="0"/>
              <w:jc w:val="left"/>
              <w:rPr/>
            </w:pPr>
            <w:r>
              <w:rPr>
                <w:rFonts w:ascii="Arial" w:hAnsi="Arial"/>
                <w:b w:val="0"/>
                <w:color w:val="000000"/>
                <w:sz w:val="20"/>
              </w:rPr>
              <w:t xml:space="preserve">Eventos sociales convencionales (cumpleaños, aniversarios, reuniones)</w:t>
            </w:r>
            <w:r/>
          </w:p>
        </w:tc>
        <w:tc>
          <w:tcPr>
            <w:tcBorders/>
            <w:tcW w:w="1474" w:type="dxa"/>
          </w:tcPr>
          <w:p>
            <w:pPr>
              <w:spacing w:after="40" w:before="40" w:line="240" w:lineRule="auto"/>
              <w:ind w:firstLine="0"/>
              <w:jc w:val="left"/>
              <w:rPr/>
            </w:pPr>
            <w:r>
              <w:rPr>
                <w:rFonts w:ascii="Arial" w:hAnsi="Arial"/>
                <w:b w:val="0"/>
                <w:color w:val="000000"/>
                <w:sz w:val="20"/>
              </w:rPr>
              <w:t xml:space="preserve">Baja</w:t>
            </w:r>
            <w:r/>
          </w:p>
        </w:tc>
        <w:tc>
          <w:tcPr>
            <w:tcBorders/>
            <w:tcW w:w="1814" w:type="dxa"/>
          </w:tcPr>
          <w:p>
            <w:pPr>
              <w:spacing w:after="40" w:before="40" w:line="240" w:lineRule="auto"/>
              <w:ind w:firstLine="0"/>
              <w:jc w:val="left"/>
              <w:rPr/>
            </w:pPr>
            <w:r>
              <w:rPr>
                <w:rFonts w:ascii="Arial" w:hAnsi="Arial"/>
                <w:b w:val="0"/>
                <w:color w:val="000000"/>
                <w:sz w:val="20"/>
              </w:rPr>
              <w:t xml:space="preserve">Media-alta (base actual de clientes)</w:t>
            </w:r>
            <w:r/>
          </w:p>
        </w:tc>
        <w:tc>
          <w:tcPr>
            <w:tcBorders/>
            <w:tcW w:w="1701" w:type="dxa"/>
          </w:tcPr>
          <w:p>
            <w:pPr>
              <w:spacing w:after="40" w:before="40" w:line="240" w:lineRule="auto"/>
              <w:ind w:firstLine="0"/>
              <w:jc w:val="left"/>
              <w:rPr/>
            </w:pPr>
            <w:r>
              <w:rPr>
                <w:rFonts w:ascii="Arial" w:hAnsi="Arial"/>
                <w:b w:val="0"/>
                <w:color w:val="000000"/>
                <w:sz w:val="20"/>
              </w:rPr>
              <w:t xml:space="preserve">Vaca lechera</w:t>
            </w:r>
            <w:r/>
          </w:p>
        </w:tc>
        <w:tc>
          <w:tcPr>
            <w:tcBorders/>
            <w:tcW w:w="1701" w:type="dxa"/>
          </w:tcPr>
          <w:p>
            <w:pPr>
              <w:spacing w:after="40" w:before="40" w:line="240" w:lineRule="auto"/>
              <w:ind w:firstLine="0"/>
              <w:jc w:val="left"/>
              <w:rPr/>
            </w:pPr>
            <w:r>
              <w:rPr>
                <w:rFonts w:ascii="Arial" w:hAnsi="Arial"/>
                <w:b w:val="0"/>
                <w:color w:val="000000"/>
                <w:sz w:val="20"/>
              </w:rPr>
              <w:t xml:space="preserve">Ordeñar: destinar sus excedentes para financiar el lanzamiento de Nova Experience.</w:t>
            </w:r>
            <w:r/>
          </w:p>
        </w:tc>
      </w:tr>
      <w:tr>
        <w:trPr>
          <w:cantSplit/>
        </w:trPr>
        <w:tc>
          <w:tcPr>
            <w:tcBorders/>
            <w:tcW w:w="2381" w:type="dxa"/>
          </w:tcPr>
          <w:p>
            <w:pPr>
              <w:spacing w:after="40" w:before="40" w:line="240" w:lineRule="auto"/>
              <w:ind w:firstLine="0"/>
              <w:jc w:val="left"/>
              <w:rPr/>
            </w:pPr>
            <w:r>
              <w:rPr>
                <w:rFonts w:ascii="Arial" w:hAnsi="Arial"/>
                <w:b w:val="0"/>
                <w:color w:val="000000"/>
                <w:sz w:val="20"/>
              </w:rPr>
              <w:t xml:space="preserve">Nova Experience — paquetes Essential y Plus</w:t>
            </w:r>
            <w:r/>
          </w:p>
        </w:tc>
        <w:tc>
          <w:tcPr>
            <w:tcBorders/>
            <w:tcW w:w="1474" w:type="dxa"/>
          </w:tcPr>
          <w:p>
            <w:pPr>
              <w:spacing w:after="40" w:before="40" w:line="240" w:lineRule="auto"/>
              <w:ind w:firstLine="0"/>
              <w:jc w:val="left"/>
              <w:rPr/>
            </w:pPr>
            <w:r>
              <w:rPr>
                <w:rFonts w:ascii="Arial" w:hAnsi="Arial"/>
                <w:b w:val="0"/>
                <w:color w:val="000000"/>
                <w:sz w:val="20"/>
              </w:rPr>
              <w:t xml:space="preserve">Alta</w:t>
            </w:r>
            <w:r/>
          </w:p>
        </w:tc>
        <w:tc>
          <w:tcPr>
            <w:tcBorders/>
            <w:tcW w:w="1814" w:type="dxa"/>
          </w:tcPr>
          <w:p>
            <w:pPr>
              <w:spacing w:after="40" w:before="40" w:line="240" w:lineRule="auto"/>
              <w:ind w:firstLine="0"/>
              <w:jc w:val="left"/>
              <w:rPr/>
            </w:pPr>
            <w:r>
              <w:rPr>
                <w:rFonts w:ascii="Arial" w:hAnsi="Arial"/>
                <w:b w:val="0"/>
                <w:color w:val="000000"/>
                <w:sz w:val="20"/>
              </w:rPr>
              <w:t xml:space="preserve">Baja (marca nueva)</w:t>
            </w:r>
            <w:r/>
          </w:p>
        </w:tc>
        <w:tc>
          <w:tcPr>
            <w:tcBorders/>
            <w:tcW w:w="1701" w:type="dxa"/>
          </w:tcPr>
          <w:p>
            <w:pPr>
              <w:spacing w:after="40" w:before="40" w:line="240" w:lineRule="auto"/>
              <w:ind w:firstLine="0"/>
              <w:jc w:val="left"/>
              <w:rPr/>
            </w:pPr>
            <w:r>
              <w:rPr>
                <w:rFonts w:ascii="Arial" w:hAnsi="Arial"/>
                <w:b w:val="0"/>
                <w:color w:val="000000"/>
                <w:sz w:val="20"/>
              </w:rPr>
              <w:t xml:space="preserve">Signo de interrogación</w:t>
            </w:r>
            <w:r/>
          </w:p>
        </w:tc>
        <w:tc>
          <w:tcPr>
            <w:tcBorders/>
            <w:tcW w:w="1701" w:type="dxa"/>
          </w:tcPr>
          <w:p>
            <w:pPr>
              <w:spacing w:after="40" w:before="40" w:line="240" w:lineRule="auto"/>
              <w:ind w:firstLine="0"/>
              <w:jc w:val="left"/>
              <w:rPr/>
            </w:pPr>
            <w:r>
              <w:rPr>
                <w:rFonts w:ascii="Arial" w:hAnsi="Arial"/>
                <w:b w:val="0"/>
                <w:color w:val="000000"/>
                <w:sz w:val="20"/>
              </w:rPr>
              <w:t xml:space="preserve">Evaluar con 3 eventos piloto e invertir si se alcanza una satisfacción igual o superior a 4,5 / 5.</w:t>
            </w:r>
            <w:r/>
          </w:p>
        </w:tc>
      </w:tr>
      <w:tr>
        <w:trPr>
          <w:cantSplit/>
        </w:trPr>
        <w:tc>
          <w:tcPr>
            <w:tcBorders/>
            <w:tcW w:w="2381" w:type="dxa"/>
          </w:tcPr>
          <w:p>
            <w:pPr>
              <w:spacing w:after="40" w:before="40" w:line="240" w:lineRule="auto"/>
              <w:ind w:firstLine="0"/>
              <w:jc w:val="left"/>
              <w:rPr/>
            </w:pPr>
            <w:r>
              <w:rPr>
                <w:rFonts w:ascii="Arial" w:hAnsi="Arial"/>
                <w:b w:val="0"/>
                <w:color w:val="000000"/>
                <w:sz w:val="20"/>
              </w:rPr>
              <w:t xml:space="preserve">Nova Experience Premium (diseño integral y audiovisual)</w:t>
            </w:r>
            <w:r/>
          </w:p>
        </w:tc>
        <w:tc>
          <w:tcPr>
            <w:tcBorders/>
            <w:tcW w:w="1474" w:type="dxa"/>
          </w:tcPr>
          <w:p>
            <w:pPr>
              <w:spacing w:after="40" w:before="40" w:line="240" w:lineRule="auto"/>
              <w:ind w:firstLine="0"/>
              <w:jc w:val="left"/>
              <w:rPr/>
            </w:pPr>
            <w:r>
              <w:rPr>
                <w:rFonts w:ascii="Arial" w:hAnsi="Arial"/>
                <w:b w:val="0"/>
                <w:color w:val="000000"/>
                <w:sz w:val="20"/>
              </w:rPr>
              <w:t xml:space="preserve">Alta</w:t>
            </w:r>
            <w:r/>
          </w:p>
        </w:tc>
        <w:tc>
          <w:tcPr>
            <w:tcBorders/>
            <w:tcW w:w="1814" w:type="dxa"/>
          </w:tcPr>
          <w:p>
            <w:pPr>
              <w:spacing w:after="40" w:before="40" w:line="240" w:lineRule="auto"/>
              <w:ind w:firstLine="0"/>
              <w:jc w:val="left"/>
              <w:rPr/>
            </w:pPr>
            <w:r>
              <w:rPr>
                <w:rFonts w:ascii="Arial" w:hAnsi="Arial"/>
                <w:b w:val="0"/>
                <w:color w:val="000000"/>
                <w:sz w:val="20"/>
              </w:rPr>
              <w:t xml:space="preserve">Baja, con potencial en el nicho premium</w:t>
            </w:r>
            <w:r/>
          </w:p>
        </w:tc>
        <w:tc>
          <w:tcPr>
            <w:tcBorders/>
            <w:tcW w:w="1701" w:type="dxa"/>
          </w:tcPr>
          <w:p>
            <w:pPr>
              <w:spacing w:after="40" w:before="40" w:line="240" w:lineRule="auto"/>
              <w:ind w:firstLine="0"/>
              <w:jc w:val="left"/>
              <w:rPr/>
            </w:pPr>
            <w:r>
              <w:rPr>
                <w:rFonts w:ascii="Arial" w:hAnsi="Arial"/>
                <w:b w:val="0"/>
                <w:color w:val="000000"/>
                <w:sz w:val="20"/>
              </w:rPr>
              <w:t xml:space="preserve">Signo de interrogación con potencial de estrella</w:t>
            </w:r>
            <w:r/>
          </w:p>
        </w:tc>
        <w:tc>
          <w:tcPr>
            <w:tcBorders/>
            <w:tcW w:w="1701" w:type="dxa"/>
          </w:tcPr>
          <w:p>
            <w:pPr>
              <w:spacing w:after="40" w:before="40" w:line="240" w:lineRule="auto"/>
              <w:ind w:firstLine="0"/>
              <w:jc w:val="left"/>
              <w:rPr/>
            </w:pPr>
            <w:r>
              <w:rPr>
                <w:rFonts w:ascii="Arial" w:hAnsi="Arial"/>
                <w:b w:val="0"/>
                <w:color w:val="000000"/>
                <w:sz w:val="20"/>
              </w:rPr>
              <w:t xml:space="preserve">Invertir y mantener tras validar la demanda; meta de 2 contratos premium en 6 meses.</w:t>
            </w:r>
            <w:r/>
          </w:p>
        </w:tc>
      </w:tr>
      <w:tr>
        <w:trPr>
          <w:cantSplit/>
        </w:trPr>
        <w:tc>
          <w:tcPr>
            <w:tcBorders>
              <w:bottom w:val="single" w:color="000000" w:sz="6" w:space="0"/>
            </w:tcBorders>
            <w:tcW w:w="2381" w:type="dxa"/>
          </w:tcPr>
          <w:p>
            <w:pPr>
              <w:spacing w:after="40" w:before="40" w:line="240" w:lineRule="auto"/>
              <w:ind w:firstLine="0"/>
              <w:jc w:val="left"/>
              <w:rPr/>
            </w:pPr>
            <w:r>
              <w:rPr>
                <w:rFonts w:ascii="Arial" w:hAnsi="Arial"/>
                <w:b w:val="0"/>
                <w:color w:val="000000"/>
                <w:sz w:val="20"/>
              </w:rPr>
              <w:t xml:space="preserve">Venta suelta de componentes sin coordinación (servicio aislado)</w:t>
            </w:r>
            <w:r/>
          </w:p>
        </w:tc>
        <w:tc>
          <w:tcPr>
            <w:tcBorders>
              <w:bottom w:val="single" w:color="000000" w:sz="6" w:space="0"/>
            </w:tcBorders>
            <w:tcW w:w="1474" w:type="dxa"/>
          </w:tcPr>
          <w:p>
            <w:pPr>
              <w:spacing w:after="40" w:before="40" w:line="240" w:lineRule="auto"/>
              <w:ind w:firstLine="0"/>
              <w:jc w:val="left"/>
              <w:rPr/>
            </w:pPr>
            <w:r>
              <w:rPr>
                <w:rFonts w:ascii="Arial" w:hAnsi="Arial"/>
                <w:b w:val="0"/>
                <w:color w:val="000000"/>
                <w:sz w:val="20"/>
              </w:rPr>
              <w:t xml:space="preserve">Baja</w:t>
            </w:r>
            <w:r/>
          </w:p>
        </w:tc>
        <w:tc>
          <w:tcPr>
            <w:tcBorders>
              <w:bottom w:val="single" w:color="000000" w:sz="6" w:space="0"/>
            </w:tcBorders>
            <w:tcW w:w="1814" w:type="dxa"/>
          </w:tcPr>
          <w:p>
            <w:pPr>
              <w:spacing w:after="40" w:before="40" w:line="240" w:lineRule="auto"/>
              <w:ind w:firstLine="0"/>
              <w:jc w:val="left"/>
              <w:rPr/>
            </w:pPr>
            <w:r>
              <w:rPr>
                <w:rFonts w:ascii="Arial" w:hAnsi="Arial"/>
                <w:b w:val="0"/>
                <w:color w:val="000000"/>
                <w:sz w:val="20"/>
              </w:rPr>
              <w:t xml:space="preserve">Baja</w:t>
            </w:r>
            <w:r/>
          </w:p>
        </w:tc>
        <w:tc>
          <w:tcPr>
            <w:tcBorders>
              <w:bottom w:val="single" w:color="000000" w:sz="6" w:space="0"/>
            </w:tcBorders>
            <w:tcW w:w="1701" w:type="dxa"/>
          </w:tcPr>
          <w:p>
            <w:pPr>
              <w:spacing w:after="40" w:before="40" w:line="240" w:lineRule="auto"/>
              <w:ind w:firstLine="0"/>
              <w:jc w:val="left"/>
              <w:rPr/>
            </w:pPr>
            <w:r>
              <w:rPr>
                <w:rFonts w:ascii="Arial" w:hAnsi="Arial"/>
                <w:b w:val="0"/>
                <w:color w:val="000000"/>
                <w:sz w:val="20"/>
              </w:rPr>
              <w:t xml:space="preserve">Perro</w:t>
            </w:r>
            <w:r/>
          </w:p>
        </w:tc>
        <w:tc>
          <w:tcPr>
            <w:tcBorders>
              <w:bottom w:val="single" w:color="000000" w:sz="6" w:space="0"/>
            </w:tcBorders>
            <w:tcW w:w="1701" w:type="dxa"/>
          </w:tcPr>
          <w:p>
            <w:pPr>
              <w:spacing w:after="40" w:before="40" w:line="240" w:lineRule="auto"/>
              <w:ind w:firstLine="0"/>
              <w:jc w:val="left"/>
              <w:rPr/>
            </w:pPr>
            <w:r>
              <w:rPr>
                <w:rFonts w:ascii="Arial" w:hAnsi="Arial"/>
                <w:b w:val="0"/>
                <w:color w:val="000000"/>
                <w:sz w:val="20"/>
              </w:rPr>
              <w:t xml:space="preserve">Descontinuar o incorporar como complemento opcional de los paquetes.</w:t>
            </w:r>
            <w:r/>
          </w:p>
        </w:tc>
      </w:tr>
    </w:tbl>
    <w:p>
      <w:pPr>
        <w:spacing w:before="60"/>
        <w:ind w:firstLine="0"/>
        <w:jc w:val="left"/>
        <w:rPr/>
      </w:pPr>
      <w:r>
        <w:rPr>
          <w:rFonts w:ascii="Arial" w:hAnsi="Arial"/>
          <w:i/>
          <w:color w:val="000000"/>
          <w:sz w:val="18"/>
        </w:rPr>
        <w:t xml:space="preserve">Clasificación preliminar elaborada para este caso; la participación relativa deberá medirse con datos reales de ventas propias y del competidor de referencia (Henderson, 1970; Kotler y Keller, 2016).</w:t>
      </w:r>
      <w:r/>
    </w:p>
    <w:p>
      <w:pPr>
        <w:spacing w:after="0" w:before="0" w:line="360" w:lineRule="auto"/>
        <w:ind w:firstLine="709"/>
        <w:rPr/>
      </w:pPr>
      <w:r>
        <w:rPr>
          <w:rFonts w:ascii="Arial" w:hAnsi="Arial"/>
          <w:b w:val="0"/>
          <w:i w:val="0"/>
          <w:color w:val="000000"/>
          <w:sz w:val="24"/>
        </w:rPr>
        <w:t xml:space="preserve">La decisión estratégica es directa: la inversión inicial de Bs 9.350 se concentra en el sig</w:t>
      </w:r>
      <w:r>
        <w:rPr>
          <w:rFonts w:ascii="Arial" w:hAnsi="Arial"/>
          <w:b w:val="0"/>
          <w:i w:val="0"/>
          <w:color w:val="000000"/>
          <w:sz w:val="24"/>
        </w:rPr>
        <w:t xml:space="preserve">no de interrogación (Nova Experience), financiada por los excedentes de los eventos convencionales (vaca lechera), mientras que los servicios sueltos sin coordinación (perro) se descontinuarán o se incorporarán como complementos opcionales de los paquetes.</w:t>
      </w:r>
      <w:r/>
    </w:p>
    <w:p>
      <w:pPr>
        <w:pStyle w:val="753"/>
        <w:spacing/>
        <w:ind/>
        <w:rPr/>
      </w:pPr>
      <w:r/>
      <w:bookmarkStart w:id="11" w:name="_Toc11"/>
      <w:r>
        <w:rPr>
          <w:rFonts w:ascii="Arial" w:hAnsi="Arial"/>
          <w:color w:val="000000"/>
        </w:rPr>
        <w:t xml:space="preserve">3.4 Estrategias de Comunicación Efectiva Aplicadas</w:t>
      </w:r>
      <w:r/>
      <w:bookmarkEnd w:id="11"/>
      <w:r/>
      <w:r/>
    </w:p>
    <w:p>
      <w:pPr>
        <w:spacing w:after="0" w:before="0" w:line="360" w:lineRule="auto"/>
        <w:ind w:firstLine="709"/>
        <w:rPr/>
      </w:pPr>
      <w:r>
        <w:rPr>
          <w:rFonts w:ascii="Arial" w:hAnsi="Arial"/>
          <w:b w:val="0"/>
          <w:i w:val="0"/>
          <w:color w:val="000000"/>
          <w:sz w:val="24"/>
        </w:rPr>
        <w:t xml:space="preserve">La comunicación efectiva garantiza que la información estratégica llegue sin distorsión a cada actor de la organización (Robbins y Judge, 2018). Para Nova Eventos, esto implica definir quién necesita qué información, con qué frecuencia y por qué canal:</w:t>
      </w:r>
      <w:r/>
    </w:p>
    <w:p>
      <w:pPr>
        <w:keepNext w:val="true"/>
        <w:spacing w:after="60" w:before="120"/>
        <w:ind w:firstLine="0"/>
        <w:jc w:val="left"/>
        <w:rPr/>
      </w:pPr>
      <w:r>
        <w:rPr>
          <w:rFonts w:ascii="Arial" w:hAnsi="Arial"/>
          <w:b/>
          <w:i/>
          <w:color w:val="000000"/>
          <w:sz w:val="20"/>
        </w:rPr>
        <w:t xml:space="preserve">Tabla 5. Matriz de comunicación de Nova Eventos.</w:t>
      </w:r>
      <w:r/>
    </w:p>
    <w:tbl>
      <w:tblPr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814"/>
        <w:gridCol w:w="2721"/>
        <w:gridCol w:w="1701"/>
        <w:gridCol w:w="2835"/>
      </w:tblGrid>
      <w:tr>
        <w:trPr>
          <w:cantSplit/>
          <w:tblHeader/>
        </w:trPr>
        <w:tc>
          <w:tcPr>
            <w:tcBorders>
              <w:top w:val="single" w:color="000000" w:sz="6" w:space="0"/>
              <w:bottom w:val="single" w:color="000000" w:sz="6" w:space="0"/>
            </w:tcBorders>
            <w:tcW w:w="1814" w:type="dxa"/>
          </w:tcPr>
          <w:p>
            <w:pPr>
              <w:spacing w:after="40" w:before="40" w:line="240" w:lineRule="auto"/>
              <w:ind w:firstLine="0"/>
              <w:jc w:val="left"/>
              <w:rPr/>
            </w:pPr>
            <w:r>
              <w:rPr>
                <w:rFonts w:ascii="Arial" w:hAnsi="Arial"/>
                <w:b/>
                <w:color w:val="000000"/>
                <w:sz w:val="20"/>
              </w:rPr>
              <w:t xml:space="preserve">Actor (stakeholder)</w:t>
            </w:r>
            <w:r/>
          </w:p>
        </w:tc>
        <w:tc>
          <w:tcPr>
            <w:tcBorders>
              <w:top w:val="single" w:color="000000" w:sz="6" w:space="0"/>
              <w:bottom w:val="single" w:color="000000" w:sz="6" w:space="0"/>
            </w:tcBorders>
            <w:tcW w:w="2721" w:type="dxa"/>
          </w:tcPr>
          <w:p>
            <w:pPr>
              <w:spacing w:after="40" w:before="40" w:line="240" w:lineRule="auto"/>
              <w:ind w:firstLine="0"/>
              <w:jc w:val="left"/>
              <w:rPr/>
            </w:pPr>
            <w:r>
              <w:rPr>
                <w:rFonts w:ascii="Arial" w:hAnsi="Arial"/>
                <w:b/>
                <w:color w:val="000000"/>
                <w:sz w:val="20"/>
              </w:rPr>
              <w:t xml:space="preserve">Información necesaria</w:t>
            </w:r>
            <w:r/>
          </w:p>
        </w:tc>
        <w:tc>
          <w:tcPr>
            <w:tcBorders>
              <w:top w:val="single" w:color="000000" w:sz="6" w:space="0"/>
              <w:bottom w:val="single" w:color="000000" w:sz="6" w:space="0"/>
            </w:tcBorders>
            <w:tcW w:w="1701" w:type="dxa"/>
          </w:tcPr>
          <w:p>
            <w:pPr>
              <w:spacing w:after="40" w:before="40" w:line="240" w:lineRule="auto"/>
              <w:ind w:firstLine="0"/>
              <w:jc w:val="left"/>
              <w:rPr/>
            </w:pPr>
            <w:r>
              <w:rPr>
                <w:rFonts w:ascii="Arial" w:hAnsi="Arial"/>
                <w:b/>
                <w:color w:val="000000"/>
                <w:sz w:val="20"/>
              </w:rPr>
              <w:t xml:space="preserve">Frecuencia</w:t>
            </w:r>
            <w:r/>
          </w:p>
        </w:tc>
        <w:tc>
          <w:tcPr>
            <w:tcBorders>
              <w:top w:val="single" w:color="000000" w:sz="6" w:space="0"/>
              <w:bottom w:val="single" w:color="000000" w:sz="6" w:space="0"/>
            </w:tcBorders>
            <w:tcW w:w="2835" w:type="dxa"/>
          </w:tcPr>
          <w:p>
            <w:pPr>
              <w:spacing w:after="40" w:before="40" w:line="240" w:lineRule="auto"/>
              <w:ind w:firstLine="0"/>
              <w:jc w:val="left"/>
              <w:rPr/>
            </w:pPr>
            <w:r>
              <w:rPr>
                <w:rFonts w:ascii="Arial" w:hAnsi="Arial"/>
                <w:b/>
                <w:color w:val="000000"/>
                <w:sz w:val="20"/>
              </w:rPr>
              <w:t xml:space="preserve">Canal</w:t>
            </w:r>
            <w:r/>
          </w:p>
        </w:tc>
      </w:tr>
      <w:tr>
        <w:trPr>
          <w:cantSplit/>
        </w:trPr>
        <w:tc>
          <w:tcPr>
            <w:tcBorders/>
            <w:tcW w:w="1814" w:type="dxa"/>
          </w:tcPr>
          <w:p>
            <w:pPr>
              <w:spacing w:after="40" w:before="40" w:line="240" w:lineRule="auto"/>
              <w:ind w:firstLine="0"/>
              <w:jc w:val="left"/>
              <w:rPr/>
            </w:pPr>
            <w:r>
              <w:rPr>
                <w:rFonts w:ascii="Arial" w:hAnsi="Arial"/>
                <w:b w:val="0"/>
                <w:color w:val="000000"/>
                <w:sz w:val="20"/>
              </w:rPr>
              <w:t xml:space="preserve">Cliente potencial</w:t>
            </w:r>
            <w:r/>
          </w:p>
        </w:tc>
        <w:tc>
          <w:tcPr>
            <w:tcBorders/>
            <w:tcW w:w="2721" w:type="dxa"/>
          </w:tcPr>
          <w:p>
            <w:pPr>
              <w:spacing w:after="40" w:before="40" w:line="240" w:lineRule="auto"/>
              <w:ind w:firstLine="0"/>
              <w:jc w:val="left"/>
              <w:rPr/>
            </w:pPr>
            <w:r>
              <w:rPr>
                <w:rFonts w:ascii="Arial" w:hAnsi="Arial"/>
                <w:b w:val="0"/>
                <w:color w:val="000000"/>
                <w:sz w:val="20"/>
              </w:rPr>
              <w:t xml:space="preserve">Paquetes, precios y portafolio de eventos</w:t>
            </w:r>
            <w:r/>
          </w:p>
        </w:tc>
        <w:tc>
          <w:tcPr>
            <w:tcBorders/>
            <w:tcW w:w="1701" w:type="dxa"/>
          </w:tcPr>
          <w:p>
            <w:pPr>
              <w:spacing w:after="40" w:before="40" w:line="240" w:lineRule="auto"/>
              <w:ind w:firstLine="0"/>
              <w:jc w:val="left"/>
              <w:rPr/>
            </w:pPr>
            <w:r>
              <w:rPr>
                <w:rFonts w:ascii="Arial" w:hAnsi="Arial"/>
                <w:b w:val="0"/>
                <w:color w:val="000000"/>
                <w:sz w:val="20"/>
              </w:rPr>
              <w:t xml:space="preserve">Continua</w:t>
            </w:r>
            <w:r/>
          </w:p>
        </w:tc>
        <w:tc>
          <w:tcPr>
            <w:tcBorders/>
            <w:tcW w:w="2835" w:type="dxa"/>
          </w:tcPr>
          <w:p>
            <w:pPr>
              <w:spacing w:after="40" w:before="40" w:line="240" w:lineRule="auto"/>
              <w:ind w:firstLine="0"/>
              <w:jc w:val="left"/>
              <w:rPr/>
            </w:pPr>
            <w:r>
              <w:rPr>
                <w:rFonts w:ascii="Arial" w:hAnsi="Arial"/>
                <w:b w:val="0"/>
                <w:color w:val="000000"/>
                <w:sz w:val="20"/>
              </w:rPr>
              <w:t xml:space="preserve">Redes sociales, WhatsApp, catálogo digital</w:t>
            </w:r>
            <w:r/>
          </w:p>
        </w:tc>
      </w:tr>
      <w:tr>
        <w:trPr>
          <w:cantSplit/>
        </w:trPr>
        <w:tc>
          <w:tcPr>
            <w:tcBorders/>
            <w:tcW w:w="1814" w:type="dxa"/>
          </w:tcPr>
          <w:p>
            <w:pPr>
              <w:spacing w:after="40" w:before="40" w:line="240" w:lineRule="auto"/>
              <w:ind w:firstLine="0"/>
              <w:jc w:val="left"/>
              <w:rPr/>
            </w:pPr>
            <w:r>
              <w:rPr>
                <w:rFonts w:ascii="Arial" w:hAnsi="Arial"/>
                <w:b w:val="0"/>
                <w:color w:val="000000"/>
                <w:sz w:val="20"/>
              </w:rPr>
              <w:t xml:space="preserve">Cliente contratado</w:t>
            </w:r>
            <w:r/>
          </w:p>
        </w:tc>
        <w:tc>
          <w:tcPr>
            <w:tcBorders/>
            <w:tcW w:w="2721" w:type="dxa"/>
          </w:tcPr>
          <w:p>
            <w:pPr>
              <w:spacing w:after="40" w:before="40" w:line="240" w:lineRule="auto"/>
              <w:ind w:firstLine="0"/>
              <w:jc w:val="left"/>
              <w:rPr/>
            </w:pPr>
            <w:r>
              <w:rPr>
                <w:rFonts w:ascii="Arial" w:hAnsi="Arial"/>
                <w:b w:val="0"/>
                <w:color w:val="000000"/>
                <w:sz w:val="20"/>
              </w:rPr>
              <w:t xml:space="preserve">Cronograma, cambios y presupuesto desglosado</w:t>
            </w:r>
            <w:r/>
          </w:p>
        </w:tc>
        <w:tc>
          <w:tcPr>
            <w:tcBorders/>
            <w:tcW w:w="1701" w:type="dxa"/>
          </w:tcPr>
          <w:p>
            <w:pPr>
              <w:spacing w:after="40" w:before="40" w:line="240" w:lineRule="auto"/>
              <w:ind w:firstLine="0"/>
              <w:jc w:val="left"/>
              <w:rPr/>
            </w:pPr>
            <w:r>
              <w:rPr>
                <w:rFonts w:ascii="Arial" w:hAnsi="Arial"/>
                <w:b w:val="0"/>
                <w:color w:val="000000"/>
                <w:sz w:val="20"/>
              </w:rPr>
              <w:t xml:space="preserve">Semanal y por hito</w:t>
            </w:r>
            <w:r/>
          </w:p>
        </w:tc>
        <w:tc>
          <w:tcPr>
            <w:tcBorders/>
            <w:tcW w:w="2835" w:type="dxa"/>
          </w:tcPr>
          <w:p>
            <w:pPr>
              <w:spacing w:after="40" w:before="40" w:line="240" w:lineRule="auto"/>
              <w:ind w:firstLine="0"/>
              <w:jc w:val="left"/>
              <w:rPr/>
            </w:pPr>
            <w:r>
              <w:rPr>
                <w:rFonts w:ascii="Arial" w:hAnsi="Arial"/>
                <w:b w:val="0"/>
                <w:color w:val="000000"/>
                <w:sz w:val="20"/>
              </w:rPr>
              <w:t xml:space="preserve">Tablero digital del evento, WhatsApp, correo</w:t>
            </w:r>
            <w:r/>
          </w:p>
        </w:tc>
      </w:tr>
      <w:tr>
        <w:trPr>
          <w:cantSplit/>
        </w:trPr>
        <w:tc>
          <w:tcPr>
            <w:tcBorders/>
            <w:tcW w:w="1814" w:type="dxa"/>
          </w:tcPr>
          <w:p>
            <w:pPr>
              <w:spacing w:after="40" w:before="40" w:line="240" w:lineRule="auto"/>
              <w:ind w:firstLine="0"/>
              <w:jc w:val="left"/>
              <w:rPr/>
            </w:pPr>
            <w:r>
              <w:rPr>
                <w:rFonts w:ascii="Arial" w:hAnsi="Arial"/>
                <w:b w:val="0"/>
                <w:color w:val="000000"/>
                <w:sz w:val="20"/>
              </w:rPr>
              <w:t xml:space="preserve">Proveedores</w:t>
            </w:r>
            <w:r/>
          </w:p>
        </w:tc>
        <w:tc>
          <w:tcPr>
            <w:tcBorders/>
            <w:tcW w:w="2721" w:type="dxa"/>
          </w:tcPr>
          <w:p>
            <w:pPr>
              <w:spacing w:after="40" w:before="40" w:line="240" w:lineRule="auto"/>
              <w:ind w:firstLine="0"/>
              <w:jc w:val="left"/>
              <w:rPr/>
            </w:pPr>
            <w:r>
              <w:rPr>
                <w:rFonts w:ascii="Arial" w:hAnsi="Arial"/>
                <w:b w:val="0"/>
                <w:color w:val="000000"/>
                <w:sz w:val="20"/>
              </w:rPr>
              <w:t xml:space="preserve">Horarios, formatos de coordinación y responsabilidades</w:t>
            </w:r>
            <w:r/>
          </w:p>
        </w:tc>
        <w:tc>
          <w:tcPr>
            <w:tcBorders/>
            <w:tcW w:w="1701" w:type="dxa"/>
          </w:tcPr>
          <w:p>
            <w:pPr>
              <w:spacing w:after="40" w:before="40" w:line="240" w:lineRule="auto"/>
              <w:ind w:firstLine="0"/>
              <w:jc w:val="left"/>
              <w:rPr/>
            </w:pPr>
            <w:r>
              <w:rPr>
                <w:rFonts w:ascii="Arial" w:hAnsi="Arial"/>
                <w:b w:val="0"/>
                <w:color w:val="000000"/>
                <w:sz w:val="20"/>
              </w:rPr>
              <w:t xml:space="preserve">Por evento y reunión mensual</w:t>
            </w:r>
            <w:r/>
          </w:p>
        </w:tc>
        <w:tc>
          <w:tcPr>
            <w:tcBorders/>
            <w:tcW w:w="2835" w:type="dxa"/>
          </w:tcPr>
          <w:p>
            <w:pPr>
              <w:spacing w:after="40" w:before="40" w:line="240" w:lineRule="auto"/>
              <w:ind w:firstLine="0"/>
              <w:jc w:val="left"/>
              <w:rPr/>
            </w:pPr>
            <w:r>
              <w:rPr>
                <w:rFonts w:ascii="Arial" w:hAnsi="Arial"/>
                <w:b w:val="0"/>
                <w:color w:val="000000"/>
                <w:sz w:val="20"/>
              </w:rPr>
              <w:t xml:space="preserve">Reuniones, correo, cronograma compartido</w:t>
            </w:r>
            <w:r/>
          </w:p>
        </w:tc>
      </w:tr>
      <w:tr>
        <w:trPr>
          <w:cantSplit/>
        </w:trPr>
        <w:tc>
          <w:tcPr>
            <w:tcBorders/>
            <w:tcW w:w="1814" w:type="dxa"/>
          </w:tcPr>
          <w:p>
            <w:pPr>
              <w:spacing w:after="40" w:before="40" w:line="240" w:lineRule="auto"/>
              <w:ind w:firstLine="0"/>
              <w:jc w:val="left"/>
              <w:rPr/>
            </w:pPr>
            <w:r>
              <w:rPr>
                <w:rFonts w:ascii="Arial" w:hAnsi="Arial"/>
                <w:b w:val="0"/>
                <w:color w:val="000000"/>
                <w:sz w:val="20"/>
              </w:rPr>
              <w:t xml:space="preserve">Personal interno</w:t>
            </w:r>
            <w:r/>
          </w:p>
        </w:tc>
        <w:tc>
          <w:tcPr>
            <w:tcBorders/>
            <w:tcW w:w="2721" w:type="dxa"/>
          </w:tcPr>
          <w:p>
            <w:pPr>
              <w:spacing w:after="40" w:before="40" w:line="240" w:lineRule="auto"/>
              <w:ind w:firstLine="0"/>
              <w:jc w:val="left"/>
              <w:rPr/>
            </w:pPr>
            <w:r>
              <w:rPr>
                <w:rFonts w:ascii="Arial" w:hAnsi="Arial"/>
                <w:b w:val="0"/>
                <w:color w:val="000000"/>
                <w:sz w:val="20"/>
              </w:rPr>
              <w:t xml:space="preserve">Procedimientos, metas, avances y capacitación</w:t>
            </w:r>
            <w:r/>
          </w:p>
        </w:tc>
        <w:tc>
          <w:tcPr>
            <w:tcBorders/>
            <w:tcW w:w="1701" w:type="dxa"/>
          </w:tcPr>
          <w:p>
            <w:pPr>
              <w:spacing w:after="40" w:before="40" w:line="240" w:lineRule="auto"/>
              <w:ind w:firstLine="0"/>
              <w:jc w:val="left"/>
              <w:rPr/>
            </w:pPr>
            <w:r>
              <w:rPr>
                <w:rFonts w:ascii="Arial" w:hAnsi="Arial"/>
                <w:b w:val="0"/>
                <w:color w:val="000000"/>
                <w:sz w:val="20"/>
              </w:rPr>
              <w:t xml:space="preserve">Diaria y semanal</w:t>
            </w:r>
            <w:r/>
          </w:p>
        </w:tc>
        <w:tc>
          <w:tcPr>
            <w:tcBorders/>
            <w:tcW w:w="2835" w:type="dxa"/>
          </w:tcPr>
          <w:p>
            <w:pPr>
              <w:spacing w:after="40" w:before="40" w:line="240" w:lineRule="auto"/>
              <w:ind w:firstLine="0"/>
              <w:jc w:val="left"/>
              <w:rPr/>
            </w:pPr>
            <w:r>
              <w:rPr>
                <w:rFonts w:ascii="Arial" w:hAnsi="Arial"/>
                <w:b w:val="0"/>
                <w:color w:val="000000"/>
                <w:sz w:val="20"/>
              </w:rPr>
              <w:t xml:space="preserve">Reuniones breves, guías y listas de control</w:t>
            </w:r>
            <w:r/>
          </w:p>
        </w:tc>
      </w:tr>
      <w:tr>
        <w:trPr>
          <w:cantSplit/>
        </w:trPr>
        <w:tc>
          <w:tcPr>
            <w:tcBorders>
              <w:bottom w:val="single" w:color="000000" w:sz="6" w:space="0"/>
            </w:tcBorders>
            <w:tcW w:w="1814" w:type="dxa"/>
          </w:tcPr>
          <w:p>
            <w:pPr>
              <w:spacing w:after="40" w:before="40" w:line="240" w:lineRule="auto"/>
              <w:ind w:firstLine="0"/>
              <w:jc w:val="left"/>
              <w:rPr/>
            </w:pPr>
            <w:r>
              <w:rPr>
                <w:rFonts w:ascii="Arial" w:hAnsi="Arial"/>
                <w:b w:val="0"/>
                <w:color w:val="000000"/>
                <w:sz w:val="20"/>
              </w:rPr>
              <w:t xml:space="preserve">Administración</w:t>
            </w:r>
            <w:r/>
          </w:p>
        </w:tc>
        <w:tc>
          <w:tcPr>
            <w:tcBorders>
              <w:bottom w:val="single" w:color="000000" w:sz="6" w:space="0"/>
            </w:tcBorders>
            <w:tcW w:w="2721" w:type="dxa"/>
          </w:tcPr>
          <w:p>
            <w:pPr>
              <w:spacing w:after="40" w:before="40" w:line="240" w:lineRule="auto"/>
              <w:ind w:firstLine="0"/>
              <w:jc w:val="left"/>
              <w:rPr/>
            </w:pPr>
            <w:r>
              <w:rPr>
                <w:rFonts w:ascii="Arial" w:hAnsi="Arial"/>
                <w:b w:val="0"/>
                <w:color w:val="000000"/>
                <w:sz w:val="20"/>
              </w:rPr>
              <w:t xml:space="preserve">Gastos, autorizaciones e indicadores</w:t>
            </w:r>
            <w:r/>
          </w:p>
        </w:tc>
        <w:tc>
          <w:tcPr>
            <w:tcBorders>
              <w:bottom w:val="single" w:color="000000" w:sz="6" w:space="0"/>
            </w:tcBorders>
            <w:tcW w:w="1701" w:type="dxa"/>
          </w:tcPr>
          <w:p>
            <w:pPr>
              <w:spacing w:after="40" w:before="40" w:line="240" w:lineRule="auto"/>
              <w:ind w:firstLine="0"/>
              <w:jc w:val="left"/>
              <w:rPr/>
            </w:pPr>
            <w:r>
              <w:rPr>
                <w:rFonts w:ascii="Arial" w:hAnsi="Arial"/>
                <w:b w:val="0"/>
                <w:color w:val="000000"/>
                <w:sz w:val="20"/>
              </w:rPr>
              <w:t xml:space="preserve">Mensual y por evento</w:t>
            </w:r>
            <w:r/>
          </w:p>
        </w:tc>
        <w:tc>
          <w:tcPr>
            <w:tcBorders>
              <w:bottom w:val="single" w:color="000000" w:sz="6" w:space="0"/>
            </w:tcBorders>
            <w:tcW w:w="2835" w:type="dxa"/>
          </w:tcPr>
          <w:p>
            <w:pPr>
              <w:spacing w:after="40" w:before="40" w:line="240" w:lineRule="auto"/>
              <w:ind w:firstLine="0"/>
              <w:jc w:val="left"/>
              <w:rPr/>
            </w:pPr>
            <w:r>
              <w:rPr>
                <w:rFonts w:ascii="Arial" w:hAnsi="Arial"/>
                <w:b w:val="0"/>
                <w:color w:val="000000"/>
                <w:sz w:val="20"/>
              </w:rPr>
              <w:t xml:space="preserve">Registro documental y reporte de indicadores</w:t>
            </w:r>
            <w:r/>
          </w:p>
        </w:tc>
      </w:tr>
    </w:tbl>
    <w:p>
      <w:pPr>
        <w:spacing w:before="60"/>
        <w:ind w:firstLine="0"/>
        <w:jc w:val="left"/>
        <w:rPr/>
      </w:pPr>
      <w:r>
        <w:rPr>
          <w:rFonts w:ascii="Arial" w:hAnsi="Arial"/>
          <w:i/>
          <w:color w:val="000000"/>
          <w:sz w:val="18"/>
        </w:rPr>
        <w:t xml:space="preserve">Elaboración propia a partir de Robbins y Judge (2018).</w:t>
      </w:r>
      <w:r/>
    </w:p>
    <w:p>
      <w:pPr>
        <w:spacing w:after="0" w:before="0" w:line="360" w:lineRule="auto"/>
        <w:ind w:hanging="482" w:left="850"/>
        <w:rPr/>
      </w:pPr>
      <w:r>
        <w:rPr>
          <w:rFonts w:ascii="Arial" w:hAnsi="Arial"/>
          <w:b w:val="0"/>
          <w:i w:val="0"/>
          <w:color w:val="000000"/>
          <w:sz w:val="24"/>
        </w:rPr>
        <w:t xml:space="preserve">  •  </w:t>
      </w:r>
      <w:r>
        <w:rPr>
          <w:rFonts w:ascii="Arial" w:hAnsi="Arial"/>
          <w:b/>
          <w:i w:val="0"/>
          <w:color w:val="000000"/>
          <w:sz w:val="24"/>
        </w:rPr>
        <w:t xml:space="preserve">Estandarización del lenguaje: </w:t>
      </w:r>
      <w:r>
        <w:rPr>
          <w:rFonts w:ascii="Arial" w:hAnsi="Arial"/>
          <w:b w:val="0"/>
          <w:i w:val="0"/>
          <w:color w:val="000000"/>
          <w:sz w:val="24"/>
        </w:rPr>
        <w:t xml:space="preserve">cotizaciones, contratos, cronogramas y listas de control con formatos únicos, de modo que cliente, personal y proveedores compartan el mismo vocabulario y se reduzcan los malentendidos.</w:t>
      </w:r>
      <w:r/>
    </w:p>
    <w:p>
      <w:pPr>
        <w:spacing w:after="0" w:before="0" w:line="360" w:lineRule="auto"/>
        <w:ind w:hanging="482" w:left="850"/>
        <w:rPr/>
      </w:pPr>
      <w:r>
        <w:rPr>
          <w:rFonts w:ascii="Arial" w:hAnsi="Arial"/>
          <w:b w:val="0"/>
          <w:i w:val="0"/>
          <w:color w:val="000000"/>
          <w:sz w:val="24"/>
        </w:rPr>
        <w:t xml:space="preserve">  •  </w:t>
      </w:r>
      <w:r>
        <w:rPr>
          <w:rFonts w:ascii="Arial" w:hAnsi="Arial"/>
          <w:b/>
          <w:i w:val="0"/>
          <w:color w:val="000000"/>
          <w:sz w:val="24"/>
        </w:rPr>
        <w:t xml:space="preserve">Presencia multicanal: </w:t>
      </w:r>
      <w:r>
        <w:rPr>
          <w:rFonts w:ascii="Arial" w:hAnsi="Arial"/>
          <w:b w:val="0"/>
          <w:i w:val="0"/>
          <w:color w:val="000000"/>
          <w:sz w:val="24"/>
        </w:rPr>
        <w:t xml:space="preserve">catálogo digital, redes sociales, WhatsApp y correo, sin depender de una sola plataforma; en Bolivia se estimaron 8,77 millones de usuarios de internet al inicio de 2025 (DataReportal, 2025).</w:t>
      </w:r>
      <w:r/>
    </w:p>
    <w:p>
      <w:pPr>
        <w:spacing w:after="0" w:before="0" w:line="360" w:lineRule="auto"/>
        <w:ind w:hanging="482" w:left="850"/>
        <w:rPr/>
      </w:pPr>
      <w:r>
        <w:rPr>
          <w:rFonts w:ascii="Arial" w:hAnsi="Arial"/>
          <w:b w:val="0"/>
          <w:i w:val="0"/>
          <w:color w:val="000000"/>
          <w:sz w:val="24"/>
        </w:rPr>
        <w:t xml:space="preserve">  •  </w:t>
      </w:r>
      <w:r>
        <w:rPr>
          <w:rFonts w:ascii="Arial" w:hAnsi="Arial"/>
          <w:b/>
          <w:i w:val="0"/>
          <w:color w:val="000000"/>
          <w:sz w:val="24"/>
        </w:rPr>
        <w:t xml:space="preserve">Bucles de retroalimentación: </w:t>
      </w:r>
      <w:r>
        <w:rPr>
          <w:rFonts w:ascii="Arial" w:hAnsi="Arial"/>
          <w:b w:val="0"/>
          <w:i w:val="0"/>
          <w:color w:val="000000"/>
          <w:sz w:val="24"/>
        </w:rPr>
        <w:t xml:space="preserve">encuesta de satisfacción tras cada evento y revisión mensual de indicadores para detectar y corregir desviaciones tempranamente.</w:t>
      </w:r>
      <w:r/>
    </w:p>
    <w:p>
      <w:pPr>
        <w:spacing w:after="0" w:before="0" w:line="360" w:lineRule="auto"/>
        <w:ind w:hanging="482" w:left="850"/>
        <w:rPr/>
      </w:pPr>
      <w:r>
        <w:rPr>
          <w:rFonts w:ascii="Arial" w:hAnsi="Arial"/>
          <w:b w:val="0"/>
          <w:i w:val="0"/>
          <w:color w:val="000000"/>
          <w:sz w:val="24"/>
        </w:rPr>
        <w:t xml:space="preserve">  •  </w:t>
      </w:r>
      <w:r>
        <w:rPr>
          <w:rFonts w:ascii="Arial" w:hAnsi="Arial"/>
          <w:b/>
          <w:i w:val="0"/>
          <w:color w:val="000000"/>
          <w:sz w:val="24"/>
        </w:rPr>
        <w:t xml:space="preserve">Comunicación interna y externa: </w:t>
      </w:r>
      <w:r>
        <w:rPr>
          <w:rFonts w:ascii="Arial" w:hAnsi="Arial"/>
          <w:b w:val="0"/>
          <w:i w:val="0"/>
          <w:color w:val="000000"/>
          <w:sz w:val="24"/>
        </w:rPr>
        <w:t xml:space="preserve">metas y procedimientos hacia el personal (descendente), reportes de avance e incidencias hacia la administración (ascendente) y difusión de portafolio y políticas hacia clientes y proveedores (externa).</w:t>
      </w:r>
      <w:r/>
    </w:p>
    <w:p>
      <w:pPr>
        <w:pStyle w:val="751"/>
        <w:spacing/>
        <w:ind w:firstLine="0"/>
        <w:jc w:val="center"/>
        <w:rPr/>
      </w:pPr>
      <w:r/>
      <w:bookmarkStart w:id="19" w:name="_Toc19"/>
      <w:r>
        <w:rPr>
          <w:rFonts w:ascii="Arial" w:hAnsi="Arial"/>
          <w:b/>
          <w:color w:val="000000"/>
          <w:sz w:val="28"/>
        </w:rPr>
        <w:t xml:space="preserve">BIBLIOGRAFÍA</w:t>
      </w:r>
      <w:r/>
      <w:bookmarkEnd w:id="19"/>
      <w:r/>
      <w:r/>
    </w:p>
    <w:p>
      <w:pPr>
        <w:spacing w:after="120" w:before="0" w:line="360" w:lineRule="auto"/>
        <w:ind w:hanging="709" w:left="709"/>
        <w:rPr/>
      </w:pPr>
      <w:r>
        <w:rPr>
          <w:rFonts w:ascii="Arial" w:hAnsi="Arial"/>
          <w:color w:val="000000"/>
          <w:sz w:val="24"/>
        </w:rPr>
        <w:t xml:space="preserve">DataReportal. (2025). Digital 2025: Bolivia. https://datareportal.com/reports/digital-2025-bolivia</w:t>
      </w:r>
      <w:r/>
    </w:p>
    <w:p>
      <w:pPr>
        <w:spacing w:after="120" w:before="0" w:line="360" w:lineRule="auto"/>
        <w:ind w:hanging="709" w:left="709"/>
        <w:rPr/>
      </w:pPr>
      <w:r>
        <w:rPr>
          <w:rFonts w:ascii="Arial" w:hAnsi="Arial"/>
          <w:color w:val="000000"/>
          <w:sz w:val="24"/>
        </w:rPr>
        <w:t xml:space="preserve">David, F. R., David, F. R., &amp; David, M. E. (2020). Strategic Management: A Competitive Advantage Approach, Concepts and Cases (17.ª ed.). Pearson.</w:t>
      </w:r>
      <w:r/>
    </w:p>
    <w:p>
      <w:pPr>
        <w:spacing w:after="120" w:before="0" w:line="360" w:lineRule="auto"/>
        <w:ind w:hanging="709" w:left="709"/>
        <w:rPr/>
      </w:pPr>
      <w:r>
        <w:rPr>
          <w:rFonts w:ascii="Arial" w:hAnsi="Arial"/>
          <w:color w:val="000000"/>
          <w:sz w:val="24"/>
        </w:rPr>
        <w:t xml:space="preserve">Henderson, B. D. (1970). The Product Portfolio. Boston Consulting Group Perspectives, No. 66.</w:t>
      </w:r>
      <w:r/>
    </w:p>
    <w:p>
      <w:pPr>
        <w:spacing w:after="120" w:before="0" w:line="360" w:lineRule="auto"/>
        <w:ind w:hanging="709" w:left="709"/>
        <w:rPr/>
      </w:pPr>
      <w:r>
        <w:rPr>
          <w:rFonts w:ascii="Arial" w:hAnsi="Arial"/>
          <w:color w:val="000000"/>
          <w:sz w:val="24"/>
        </w:rPr>
        <w:t xml:space="preserve">Kaplan, R. S., &amp; Norton, D. P. (1996). The Balanced Scorecard: Translating Strategy into Action. Harvard Business School Press.</w:t>
      </w:r>
      <w:r/>
    </w:p>
    <w:p>
      <w:pPr>
        <w:spacing w:after="120" w:before="0" w:line="360" w:lineRule="auto"/>
        <w:ind w:hanging="709" w:left="709"/>
        <w:rPr/>
      </w:pPr>
      <w:r>
        <w:rPr>
          <w:rFonts w:ascii="Arial" w:hAnsi="Arial"/>
          <w:color w:val="000000"/>
          <w:sz w:val="24"/>
        </w:rPr>
        <w:t xml:space="preserve">Kotler, P., &amp; Keller, K. L. (2016). Marketing Management (15.ª ed.). Pearson Education.</w:t>
      </w:r>
      <w:r/>
    </w:p>
    <w:p>
      <w:pPr>
        <w:spacing w:after="120" w:before="0" w:line="360" w:lineRule="auto"/>
        <w:ind w:hanging="709" w:left="709"/>
        <w:rPr/>
      </w:pPr>
      <w:r>
        <w:rPr>
          <w:rFonts w:ascii="Arial" w:hAnsi="Arial"/>
          <w:color w:val="000000"/>
          <w:sz w:val="24"/>
        </w:rPr>
        <w:t xml:space="preserve">Kotter, J. P. (1996). Leading Change. Harvard Business School Press.</w:t>
      </w:r>
      <w:r/>
    </w:p>
    <w:p>
      <w:pPr>
        <w:spacing w:after="120" w:before="0" w:line="360" w:lineRule="auto"/>
        <w:ind w:hanging="709" w:left="709"/>
        <w:rPr/>
      </w:pPr>
      <w:r>
        <w:rPr>
          <w:rFonts w:ascii="Arial" w:hAnsi="Arial"/>
          <w:color w:val="000000"/>
          <w:sz w:val="24"/>
        </w:rPr>
        <w:t xml:space="preserve">Robbins, S. P., &amp; Judge, T. A. (2018). Organizational Behavior (18.ª ed.). Pearson Education.</w:t>
      </w:r>
      <w:r/>
    </w:p>
    <w:sectPr>
      <w:headerReference w:type="default" r:id="rId9"/>
      <w:headerReference w:type="first" r:id="rId10"/>
      <w:footnotePr/>
      <w:endnotePr/>
      <w:type w:val="nextPage"/>
      <w:pgSz w:h="15840" w:orient="portrait" w:w="12240"/>
      <w:pgMar w:top="1440" w:right="1440" w:bottom="1440" w:left="1701" w:header="720" w:footer="720" w:gutter="0"/>
      <w:pgNumType w:start="1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00503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47"/>
      <w:spacing/>
      <w:ind w:firstLine="0"/>
      <w:jc w:val="right"/>
      <w:rPr/>
    </w:pPr>
    <w:r>
      <w:rPr>
        <w:rFonts w:ascii="Arial" w:hAnsi="Arial"/>
        <w:sz w:val="20"/>
      </w:rPr>
      <w:fldChar w:fldCharType="begin"/>
    </w:r>
    <w:r>
      <w:instrText xml:space="preserve">PAGE</w:instrText>
    </w:r>
    <w:r>
      <w:fldChar w:fldCharType="separate"/>
    </w:r>
    <w:r>
      <w:fldChar w:fldCharType="end"/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47"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8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8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8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8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84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81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6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6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6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74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60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60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4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60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60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6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6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46"/>
    <w:next w:val="746"/>
    <w:uiPriority w:val="39"/>
    <w:unhideWhenUsed/>
    <w:pPr>
      <w:pBdr/>
      <w:spacing w:after="100"/>
      <w:ind/>
    </w:pPr>
  </w:style>
  <w:style w:type="paragraph" w:styleId="190">
    <w:name w:val="toc 2"/>
    <w:basedOn w:val="746"/>
    <w:next w:val="746"/>
    <w:uiPriority w:val="39"/>
    <w:unhideWhenUsed/>
    <w:pPr>
      <w:pBdr/>
      <w:spacing w:after="100"/>
      <w:ind w:left="220"/>
    </w:pPr>
  </w:style>
  <w:style w:type="paragraph" w:styleId="191">
    <w:name w:val="toc 3"/>
    <w:basedOn w:val="746"/>
    <w:next w:val="746"/>
    <w:uiPriority w:val="39"/>
    <w:unhideWhenUsed/>
    <w:pPr>
      <w:pBdr/>
      <w:spacing w:after="100"/>
      <w:ind w:left="440"/>
    </w:pPr>
  </w:style>
  <w:style w:type="paragraph" w:styleId="192">
    <w:name w:val="toc 4"/>
    <w:basedOn w:val="746"/>
    <w:next w:val="746"/>
    <w:uiPriority w:val="39"/>
    <w:unhideWhenUsed/>
    <w:pPr>
      <w:pBdr/>
      <w:spacing w:after="100"/>
      <w:ind w:left="660"/>
    </w:pPr>
  </w:style>
  <w:style w:type="paragraph" w:styleId="193">
    <w:name w:val="toc 5"/>
    <w:basedOn w:val="746"/>
    <w:next w:val="746"/>
    <w:uiPriority w:val="39"/>
    <w:unhideWhenUsed/>
    <w:pPr>
      <w:pBdr/>
      <w:spacing w:after="100"/>
      <w:ind w:left="880"/>
    </w:pPr>
  </w:style>
  <w:style w:type="paragraph" w:styleId="194">
    <w:name w:val="toc 6"/>
    <w:basedOn w:val="746"/>
    <w:next w:val="746"/>
    <w:uiPriority w:val="39"/>
    <w:unhideWhenUsed/>
    <w:pPr>
      <w:pBdr/>
      <w:spacing w:after="100"/>
      <w:ind w:left="1100"/>
    </w:pPr>
  </w:style>
  <w:style w:type="paragraph" w:styleId="195">
    <w:name w:val="toc 7"/>
    <w:basedOn w:val="746"/>
    <w:next w:val="746"/>
    <w:uiPriority w:val="39"/>
    <w:unhideWhenUsed/>
    <w:pPr>
      <w:pBdr/>
      <w:spacing w:after="100"/>
      <w:ind w:left="1320"/>
    </w:pPr>
  </w:style>
  <w:style w:type="paragraph" w:styleId="196">
    <w:name w:val="toc 8"/>
    <w:basedOn w:val="746"/>
    <w:next w:val="746"/>
    <w:uiPriority w:val="39"/>
    <w:unhideWhenUsed/>
    <w:pPr>
      <w:pBdr/>
      <w:spacing w:after="100"/>
      <w:ind w:left="1540"/>
    </w:pPr>
  </w:style>
  <w:style w:type="paragraph" w:styleId="197">
    <w:name w:val="toc 9"/>
    <w:basedOn w:val="746"/>
    <w:next w:val="74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60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46"/>
    <w:next w:val="746"/>
    <w:uiPriority w:val="99"/>
    <w:unhideWhenUsed/>
    <w:pPr>
      <w:pBdr/>
      <w:spacing w:after="0" w:afterAutospacing="0"/>
      <w:ind/>
    </w:pPr>
  </w:style>
  <w:style w:type="paragraph" w:styleId="746" w:default="1">
    <w:name w:val="Normal"/>
    <w:qFormat/>
    <w:pPr>
      <w:pBdr/>
      <w:spacing w:after="0" w:before="0" w:line="360" w:lineRule="auto"/>
      <w:ind w:firstLine="709"/>
      <w:jc w:val="both"/>
    </w:pPr>
    <w:rPr>
      <w:rFonts w:ascii="Arial" w:hAnsi="Arial"/>
      <w:color w:val="000000"/>
      <w:sz w:val="24"/>
    </w:rPr>
  </w:style>
  <w:style w:type="paragraph" w:styleId="747">
    <w:name w:val="Header"/>
    <w:basedOn w:val="746"/>
    <w:link w:val="748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48" w:customStyle="1">
    <w:name w:val="Header Char"/>
    <w:basedOn w:val="760"/>
    <w:link w:val="747"/>
    <w:uiPriority w:val="99"/>
    <w:pPr>
      <w:pBdr/>
      <w:spacing/>
      <w:ind/>
    </w:pPr>
  </w:style>
  <w:style w:type="paragraph" w:styleId="749">
    <w:name w:val="Footer"/>
    <w:basedOn w:val="746"/>
    <w:link w:val="75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50" w:customStyle="1">
    <w:name w:val="Footer Char"/>
    <w:basedOn w:val="760"/>
    <w:link w:val="749"/>
    <w:uiPriority w:val="99"/>
    <w:pPr>
      <w:pBdr/>
      <w:spacing/>
      <w:ind/>
    </w:pPr>
  </w:style>
  <w:style w:type="paragraph" w:styleId="751">
    <w:name w:val="Heading 1"/>
    <w:basedOn w:val="746"/>
    <w:next w:val="746"/>
    <w:link w:val="764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52">
    <w:name w:val="Heading 2"/>
    <w:basedOn w:val="746"/>
    <w:next w:val="746"/>
    <w:link w:val="765"/>
    <w:uiPriority w:val="9"/>
    <w:unhideWhenUsed/>
    <w:qFormat/>
    <w:pPr>
      <w:keepNext w:val="true"/>
      <w:keepLines w:val="true"/>
      <w:pBdr/>
      <w:spacing w:after="120" w:before="240"/>
      <w:ind w:firstLine="0"/>
      <w:jc w:val="left"/>
      <w:outlineLvl w:val="1"/>
    </w:pPr>
    <w:rPr>
      <w:rFonts w:ascii="Arial" w:hAnsi="Arial" w:asciiTheme="majorHAnsi" w:hAnsiTheme="majorHAnsi" w:eastAsiaTheme="majorEastAsia" w:cstheme="majorBidi"/>
      <w:b/>
      <w:bCs/>
      <w:i w:val="0"/>
      <w:color w:val="000000"/>
      <w:sz w:val="24"/>
      <w:szCs w:val="26"/>
    </w:rPr>
  </w:style>
  <w:style w:type="paragraph" w:styleId="753">
    <w:name w:val="Heading 3"/>
    <w:basedOn w:val="746"/>
    <w:next w:val="746"/>
    <w:link w:val="766"/>
    <w:uiPriority w:val="9"/>
    <w:unhideWhenUsed/>
    <w:qFormat/>
    <w:pPr>
      <w:keepNext w:val="true"/>
      <w:keepLines w:val="true"/>
      <w:pBdr/>
      <w:spacing w:after="120" w:before="240"/>
      <w:ind w:firstLine="709"/>
      <w:jc w:val="left"/>
      <w:outlineLvl w:val="2"/>
    </w:pPr>
    <w:rPr>
      <w:rFonts w:ascii="Arial" w:hAnsi="Arial" w:asciiTheme="majorHAnsi" w:hAnsiTheme="majorHAnsi" w:eastAsiaTheme="majorEastAsia" w:cstheme="majorBidi"/>
      <w:b/>
      <w:bCs/>
      <w:i/>
      <w:color w:val="000000"/>
      <w:sz w:val="24"/>
    </w:rPr>
  </w:style>
  <w:style w:type="paragraph" w:styleId="754">
    <w:name w:val="Heading 4"/>
    <w:basedOn w:val="746"/>
    <w:next w:val="746"/>
    <w:link w:val="794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55">
    <w:name w:val="Heading 5"/>
    <w:basedOn w:val="746"/>
    <w:next w:val="746"/>
    <w:link w:val="795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56">
    <w:name w:val="Heading 6"/>
    <w:basedOn w:val="746"/>
    <w:next w:val="746"/>
    <w:link w:val="796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57">
    <w:name w:val="Heading 7"/>
    <w:basedOn w:val="746"/>
    <w:next w:val="746"/>
    <w:link w:val="797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58">
    <w:name w:val="Heading 8"/>
    <w:basedOn w:val="746"/>
    <w:next w:val="746"/>
    <w:link w:val="798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59">
    <w:name w:val="Heading 9"/>
    <w:basedOn w:val="746"/>
    <w:next w:val="746"/>
    <w:link w:val="799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60" w:default="1">
    <w:name w:val="Default Paragraph Font"/>
    <w:uiPriority w:val="1"/>
    <w:semiHidden/>
    <w:unhideWhenUsed/>
    <w:pPr>
      <w:pBdr/>
      <w:spacing/>
      <w:ind/>
    </w:pPr>
  </w:style>
  <w:style w:type="table" w:styleId="76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62" w:default="1">
    <w:name w:val="No List"/>
    <w:uiPriority w:val="99"/>
    <w:semiHidden/>
    <w:unhideWhenUsed/>
    <w:pPr>
      <w:pBdr/>
      <w:spacing/>
      <w:ind/>
    </w:pPr>
  </w:style>
  <w:style w:type="paragraph" w:styleId="763">
    <w:name w:val="No Spacing"/>
    <w:uiPriority w:val="1"/>
    <w:qFormat/>
    <w:pPr>
      <w:pBdr/>
      <w:spacing w:after="0" w:line="240" w:lineRule="auto"/>
      <w:ind/>
    </w:pPr>
  </w:style>
  <w:style w:type="character" w:styleId="764" w:customStyle="1">
    <w:name w:val="Heading 1 Char"/>
    <w:basedOn w:val="760"/>
    <w:link w:val="751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65" w:customStyle="1">
    <w:name w:val="Heading 2 Char"/>
    <w:basedOn w:val="760"/>
    <w:link w:val="75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66" w:customStyle="1">
    <w:name w:val="Heading 3 Char"/>
    <w:basedOn w:val="760"/>
    <w:link w:val="75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67">
    <w:name w:val="Title"/>
    <w:basedOn w:val="746"/>
    <w:next w:val="746"/>
    <w:link w:val="768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68" w:customStyle="1">
    <w:name w:val="Title Char"/>
    <w:basedOn w:val="760"/>
    <w:link w:val="767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69">
    <w:name w:val="Subtitle"/>
    <w:basedOn w:val="746"/>
    <w:next w:val="746"/>
    <w:link w:val="770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70" w:customStyle="1">
    <w:name w:val="Subtitle Char"/>
    <w:basedOn w:val="760"/>
    <w:link w:val="769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71">
    <w:name w:val="List Paragraph"/>
    <w:basedOn w:val="746"/>
    <w:uiPriority w:val="34"/>
    <w:qFormat/>
    <w:pPr>
      <w:pBdr/>
      <w:spacing/>
      <w:ind w:left="720"/>
      <w:contextualSpacing w:val="true"/>
    </w:pPr>
  </w:style>
  <w:style w:type="paragraph" w:styleId="772">
    <w:name w:val="Body Text"/>
    <w:basedOn w:val="746"/>
    <w:link w:val="773"/>
    <w:uiPriority w:val="99"/>
    <w:unhideWhenUsed/>
    <w:pPr>
      <w:pBdr/>
      <w:spacing w:after="120"/>
      <w:ind/>
    </w:pPr>
  </w:style>
  <w:style w:type="character" w:styleId="773" w:customStyle="1">
    <w:name w:val="Body Text Char"/>
    <w:basedOn w:val="760"/>
    <w:link w:val="772"/>
    <w:uiPriority w:val="99"/>
    <w:pPr>
      <w:pBdr/>
      <w:spacing/>
      <w:ind/>
    </w:pPr>
  </w:style>
  <w:style w:type="paragraph" w:styleId="774">
    <w:name w:val="Body Text 2"/>
    <w:basedOn w:val="746"/>
    <w:link w:val="775"/>
    <w:uiPriority w:val="99"/>
    <w:unhideWhenUsed/>
    <w:pPr>
      <w:pBdr/>
      <w:spacing w:after="120" w:line="480" w:lineRule="auto"/>
      <w:ind/>
    </w:pPr>
  </w:style>
  <w:style w:type="character" w:styleId="775" w:customStyle="1">
    <w:name w:val="Body Text 2 Char"/>
    <w:basedOn w:val="760"/>
    <w:link w:val="774"/>
    <w:uiPriority w:val="99"/>
    <w:pPr>
      <w:pBdr/>
      <w:spacing/>
      <w:ind/>
    </w:pPr>
  </w:style>
  <w:style w:type="paragraph" w:styleId="776">
    <w:name w:val="Body Text 3"/>
    <w:basedOn w:val="746"/>
    <w:link w:val="777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77" w:customStyle="1">
    <w:name w:val="Body Text 3 Char"/>
    <w:basedOn w:val="760"/>
    <w:link w:val="776"/>
    <w:uiPriority w:val="99"/>
    <w:pPr>
      <w:pBdr/>
      <w:spacing/>
      <w:ind/>
    </w:pPr>
    <w:rPr>
      <w:sz w:val="16"/>
      <w:szCs w:val="16"/>
    </w:rPr>
  </w:style>
  <w:style w:type="paragraph" w:styleId="778">
    <w:name w:val="List"/>
    <w:basedOn w:val="746"/>
    <w:uiPriority w:val="99"/>
    <w:unhideWhenUsed/>
    <w:pPr>
      <w:pBdr/>
      <w:spacing/>
      <w:ind w:hanging="360" w:left="360"/>
      <w:contextualSpacing w:val="true"/>
    </w:pPr>
  </w:style>
  <w:style w:type="paragraph" w:styleId="779">
    <w:name w:val="List 2"/>
    <w:basedOn w:val="746"/>
    <w:uiPriority w:val="99"/>
    <w:unhideWhenUsed/>
    <w:pPr>
      <w:pBdr/>
      <w:spacing/>
      <w:ind w:hanging="360" w:left="720"/>
      <w:contextualSpacing w:val="true"/>
    </w:pPr>
  </w:style>
  <w:style w:type="paragraph" w:styleId="780">
    <w:name w:val="List 3"/>
    <w:basedOn w:val="746"/>
    <w:uiPriority w:val="99"/>
    <w:unhideWhenUsed/>
    <w:pPr>
      <w:pBdr/>
      <w:spacing/>
      <w:ind w:hanging="360" w:left="1080"/>
      <w:contextualSpacing w:val="true"/>
    </w:pPr>
  </w:style>
  <w:style w:type="paragraph" w:styleId="781">
    <w:name w:val="List Bullet"/>
    <w:basedOn w:val="746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82">
    <w:name w:val="List Bullet 2"/>
    <w:basedOn w:val="746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83">
    <w:name w:val="List Bullet 3"/>
    <w:basedOn w:val="746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84">
    <w:name w:val="List Number"/>
    <w:basedOn w:val="746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85">
    <w:name w:val="List Number 2"/>
    <w:basedOn w:val="746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86">
    <w:name w:val="List Number 3"/>
    <w:basedOn w:val="746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87">
    <w:name w:val="List Continue"/>
    <w:basedOn w:val="746"/>
    <w:uiPriority w:val="99"/>
    <w:unhideWhenUsed/>
    <w:pPr>
      <w:pBdr/>
      <w:spacing w:after="120"/>
      <w:ind w:left="360"/>
      <w:contextualSpacing w:val="true"/>
    </w:pPr>
  </w:style>
  <w:style w:type="paragraph" w:styleId="788">
    <w:name w:val="List Continue 2"/>
    <w:basedOn w:val="746"/>
    <w:uiPriority w:val="99"/>
    <w:unhideWhenUsed/>
    <w:pPr>
      <w:pBdr/>
      <w:spacing w:after="120"/>
      <w:ind w:left="720"/>
      <w:contextualSpacing w:val="true"/>
    </w:pPr>
  </w:style>
  <w:style w:type="paragraph" w:styleId="789">
    <w:name w:val="List Continue 3"/>
    <w:basedOn w:val="746"/>
    <w:uiPriority w:val="99"/>
    <w:unhideWhenUsed/>
    <w:pPr>
      <w:pBdr/>
      <w:spacing w:after="120"/>
      <w:ind w:left="1080"/>
      <w:contextualSpacing w:val="true"/>
    </w:pPr>
  </w:style>
  <w:style w:type="paragraph" w:styleId="790">
    <w:name w:val="macro"/>
    <w:link w:val="791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91" w:customStyle="1">
    <w:name w:val="Macro Text Char"/>
    <w:basedOn w:val="760"/>
    <w:link w:val="790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92">
    <w:name w:val="Quote"/>
    <w:basedOn w:val="746"/>
    <w:next w:val="746"/>
    <w:link w:val="793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93" w:customStyle="1">
    <w:name w:val="Quote Char"/>
    <w:basedOn w:val="760"/>
    <w:link w:val="792"/>
    <w:uiPriority w:val="29"/>
    <w:pPr>
      <w:pBdr/>
      <w:spacing/>
      <w:ind/>
    </w:pPr>
    <w:rPr>
      <w:i/>
      <w:iCs/>
      <w:color w:val="000000" w:themeColor="text1"/>
    </w:rPr>
  </w:style>
  <w:style w:type="character" w:styleId="794" w:customStyle="1">
    <w:name w:val="Heading 4 Char"/>
    <w:basedOn w:val="760"/>
    <w:link w:val="754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95" w:customStyle="1">
    <w:name w:val="Heading 5 Char"/>
    <w:basedOn w:val="760"/>
    <w:link w:val="75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96" w:customStyle="1">
    <w:name w:val="Heading 6 Char"/>
    <w:basedOn w:val="760"/>
    <w:link w:val="75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97" w:customStyle="1">
    <w:name w:val="Heading 7 Char"/>
    <w:basedOn w:val="760"/>
    <w:link w:val="75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98" w:customStyle="1">
    <w:name w:val="Heading 8 Char"/>
    <w:basedOn w:val="760"/>
    <w:link w:val="75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99" w:customStyle="1">
    <w:name w:val="Heading 9 Char"/>
    <w:basedOn w:val="760"/>
    <w:link w:val="75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00">
    <w:name w:val="Caption"/>
    <w:basedOn w:val="746"/>
    <w:next w:val="746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01">
    <w:name w:val="Strong"/>
    <w:basedOn w:val="760"/>
    <w:uiPriority w:val="22"/>
    <w:qFormat/>
    <w:pPr>
      <w:pBdr/>
      <w:spacing/>
      <w:ind/>
    </w:pPr>
    <w:rPr>
      <w:b/>
      <w:bCs/>
    </w:rPr>
  </w:style>
  <w:style w:type="character" w:styleId="802">
    <w:name w:val="Emphasis"/>
    <w:basedOn w:val="760"/>
    <w:uiPriority w:val="20"/>
    <w:qFormat/>
    <w:pPr>
      <w:pBdr/>
      <w:spacing/>
      <w:ind/>
    </w:pPr>
    <w:rPr>
      <w:i/>
      <w:iCs/>
    </w:rPr>
  </w:style>
  <w:style w:type="paragraph" w:styleId="803">
    <w:name w:val="Intense Quote"/>
    <w:basedOn w:val="746"/>
    <w:next w:val="746"/>
    <w:link w:val="804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04" w:customStyle="1">
    <w:name w:val="Intense Quote Char"/>
    <w:basedOn w:val="760"/>
    <w:link w:val="803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05">
    <w:name w:val="Subtle Emphasis"/>
    <w:basedOn w:val="760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06">
    <w:name w:val="Intense Emphasis"/>
    <w:basedOn w:val="760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07">
    <w:name w:val="Subtle Reference"/>
    <w:basedOn w:val="760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08">
    <w:name w:val="Intense Reference"/>
    <w:basedOn w:val="760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09">
    <w:name w:val="Book Title"/>
    <w:basedOn w:val="760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10">
    <w:name w:val="TOC Heading"/>
    <w:basedOn w:val="751"/>
    <w:next w:val="746"/>
    <w:uiPriority w:val="39"/>
    <w:semiHidden/>
    <w:unhideWhenUsed/>
    <w:qFormat/>
    <w:pPr>
      <w:pBdr/>
      <w:spacing/>
      <w:ind/>
      <w:outlineLvl w:val="9"/>
    </w:pPr>
  </w:style>
  <w:style w:type="table" w:styleId="811">
    <w:name w:val="Table Grid"/>
    <w:basedOn w:val="76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ght Shading"/>
    <w:basedOn w:val="761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ght Shading Accent 1"/>
    <w:basedOn w:val="761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ght Shading Accent 2"/>
    <w:basedOn w:val="761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ght Shading Accent 3"/>
    <w:basedOn w:val="761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ght Shading Accent 4"/>
    <w:basedOn w:val="761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ght Shading Accent 5"/>
    <w:basedOn w:val="761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ght Shading Accent 6"/>
    <w:basedOn w:val="761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ght List"/>
    <w:basedOn w:val="761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ght List Accent 1"/>
    <w:basedOn w:val="761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ght List Accent 2"/>
    <w:basedOn w:val="761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ght List Accent 3"/>
    <w:basedOn w:val="761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ght List Accent 4"/>
    <w:basedOn w:val="761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ght List Accent 5"/>
    <w:basedOn w:val="761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ght List Accent 6"/>
    <w:basedOn w:val="761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ght Grid"/>
    <w:basedOn w:val="761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ght Grid Accent 1"/>
    <w:basedOn w:val="761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ght Grid Accent 2"/>
    <w:basedOn w:val="761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ght Grid Accent 3"/>
    <w:basedOn w:val="761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ght Grid Accent 4"/>
    <w:basedOn w:val="761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ght Grid Accent 5"/>
    <w:basedOn w:val="761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ght Grid Accent 6"/>
    <w:basedOn w:val="761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Medium Shading 1"/>
    <w:basedOn w:val="761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Medium Shading 1 Accent 1"/>
    <w:basedOn w:val="761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Medium Shading 1 Accent 2"/>
    <w:basedOn w:val="761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Medium Shading 1 Accent 3"/>
    <w:basedOn w:val="761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Medium Shading 1 Accent 4"/>
    <w:basedOn w:val="761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Medium Shading 1 Accent 5"/>
    <w:basedOn w:val="761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Medium Shading 1 Accent 6"/>
    <w:basedOn w:val="761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Medium Shading 2"/>
    <w:basedOn w:val="761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Medium Shading 2 Accent 1"/>
    <w:basedOn w:val="761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Medium Shading 2 Accent 2"/>
    <w:basedOn w:val="761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Medium Shading 2 Accent 3"/>
    <w:basedOn w:val="761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Medium Shading 2 Accent 4"/>
    <w:basedOn w:val="761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Medium Shading 2 Accent 5"/>
    <w:basedOn w:val="761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Medium Shading 2 Accent 6"/>
    <w:basedOn w:val="761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Medium List 1"/>
    <w:basedOn w:val="761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Medium List 1 Accent 1"/>
    <w:basedOn w:val="761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Medium List 1 Accent 2"/>
    <w:basedOn w:val="761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Medium List 1 Accent 3"/>
    <w:basedOn w:val="761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Medium List 1 Accent 4"/>
    <w:basedOn w:val="761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Medium List 1 Accent 5"/>
    <w:basedOn w:val="761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Medium List 1 Accent 6"/>
    <w:basedOn w:val="761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Medium List 2"/>
    <w:basedOn w:val="761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Medium List 2 Accent 1"/>
    <w:basedOn w:val="761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Medium List 2 Accent 2"/>
    <w:basedOn w:val="761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Medium List 2 Accent 3"/>
    <w:basedOn w:val="761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Medium List 2 Accent 4"/>
    <w:basedOn w:val="761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Medium List 2 Accent 5"/>
    <w:basedOn w:val="761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Medium List 2 Accent 6"/>
    <w:basedOn w:val="761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Medium Grid 1"/>
    <w:basedOn w:val="761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Medium Grid 1 Accent 1"/>
    <w:basedOn w:val="761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Medium Grid 1 Accent 2"/>
    <w:basedOn w:val="761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Medium Grid 1 Accent 3"/>
    <w:basedOn w:val="761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Medium Grid 1 Accent 4"/>
    <w:basedOn w:val="761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Medium Grid 1 Accent 5"/>
    <w:basedOn w:val="761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Medium Grid 1 Accent 6"/>
    <w:basedOn w:val="761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Medium Grid 2"/>
    <w:basedOn w:val="761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Medium Grid 2 Accent 1"/>
    <w:basedOn w:val="761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Medium Grid 2 Accent 2"/>
    <w:basedOn w:val="761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Medium Grid 2 Accent 3"/>
    <w:basedOn w:val="761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Medium Grid 2 Accent 4"/>
    <w:basedOn w:val="761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Medium Grid 2 Accent 5"/>
    <w:basedOn w:val="761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Medium Grid 2 Accent 6"/>
    <w:basedOn w:val="761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Medium Grid 3"/>
    <w:basedOn w:val="761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Medium Grid 3 Accent 1"/>
    <w:basedOn w:val="761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Medium Grid 3 Accent 2"/>
    <w:basedOn w:val="761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Medium Grid 3 Accent 3"/>
    <w:basedOn w:val="761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Medium Grid 3 Accent 4"/>
    <w:basedOn w:val="761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Medium Grid 3 Accent 5"/>
    <w:basedOn w:val="761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Medium Grid 3 Accent 6"/>
    <w:basedOn w:val="761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Dark List"/>
    <w:basedOn w:val="761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Dark List Accent 1"/>
    <w:basedOn w:val="761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Dark List Accent 2"/>
    <w:basedOn w:val="761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Dark List Accent 3"/>
    <w:basedOn w:val="761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Dark List Accent 4"/>
    <w:basedOn w:val="761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Dark List Accent 5"/>
    <w:basedOn w:val="761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Dark List Accent 6"/>
    <w:basedOn w:val="761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Colorful Shading"/>
    <w:basedOn w:val="761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Colorful Shading Accent 1"/>
    <w:basedOn w:val="761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Colorful Shading Accent 2"/>
    <w:basedOn w:val="761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Colorful Shading Accent 3"/>
    <w:basedOn w:val="761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Colorful Shading Accent 4"/>
    <w:basedOn w:val="761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Colorful Shading Accent 5"/>
    <w:basedOn w:val="761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Colorful Shading Accent 6"/>
    <w:basedOn w:val="761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Colorful List"/>
    <w:basedOn w:val="761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Colorful List Accent 1"/>
    <w:basedOn w:val="761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Colorful List Accent 2"/>
    <w:basedOn w:val="761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Colorful List Accent 3"/>
    <w:basedOn w:val="761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Colorful List Accent 4"/>
    <w:basedOn w:val="761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Colorful List Accent 5"/>
    <w:basedOn w:val="761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Colorful List Accent 6"/>
    <w:basedOn w:val="761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Colorful Grid"/>
    <w:basedOn w:val="761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Colorful Grid Accent 1"/>
    <w:basedOn w:val="761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Colorful Grid Accent 2"/>
    <w:basedOn w:val="761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Colorful Grid Accent 3"/>
    <w:basedOn w:val="761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Colorful Grid Accent 4"/>
    <w:basedOn w:val="761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Colorful Grid Accent 5"/>
    <w:basedOn w:val="761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Colorful Grid Accent 6"/>
    <w:basedOn w:val="761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2026-10-19T19:02:49Z</dcterms:modified>
  <cp:category/>
</cp:coreProperties>
</file>