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C94B4C9">
      <w:pPr>
        <w:pStyle w:val="905"/>
        <w:tabs>
          <w:tab w:val="right" w:leader="dot" w:pos="9099"/>
        </w:tabs>
        <w:spacing/>
        <w:ind w:firstLine="0" w:left="0"/>
        <w:rPr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tooltip="#_Toc1" w:anchor="_Toc1" w:history="1">
        <w:r>
          <w:rPr>
            <w:rStyle w:val="902"/>
          </w:rPr>
        </w:r>
        <w:r>
          <w:rPr>
            <w:rStyle w:val="902"/>
            <w:rFonts w:ascii="Arial" w:hAnsi="Arial"/>
          </w:rPr>
          <w:t xml:space="preserve">1. Introducción</w:t>
        </w:r>
        <w:r>
          <w:rPr>
            <w:rStyle w:val="902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1</w:t>
          <w:fldChar w:fldCharType="end"/>
        </w:r>
      </w:hyperlink>
      <w:r/>
      <w:r/>
    </w:p>
    <w:p w14:paraId="4D37D88B">
      <w:pPr>
        <w:pStyle w:val="905"/>
        <w:tabs>
          <w:tab w:val="right" w:leader="dot" w:pos="9099"/>
        </w:tabs>
        <w:spacing/>
        <w:ind/>
        <w:rPr/>
      </w:pPr>
      <w:r/>
      <w:hyperlink w:tooltip="#_Toc2" w:anchor="_Toc2" w:history="1">
        <w:r>
          <w:rPr>
            <w:rStyle w:val="902"/>
          </w:rPr>
        </w:r>
        <w:r>
          <w:rPr>
            <w:rStyle w:val="902"/>
            <w:rFonts w:ascii="Arial" w:hAnsi="Arial"/>
          </w:rPr>
          <w:t xml:space="preserve">2. Establecimiento de los Objetivos Estratégicos</w:t>
        </w:r>
        <w:r>
          <w:rPr>
            <w:rStyle w:val="902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1</w:t>
          <w:fldChar w:fldCharType="end"/>
        </w:r>
      </w:hyperlink>
      <w:r/>
      <w:r/>
    </w:p>
    <w:p w14:paraId="4F8DAAFC">
      <w:pPr>
        <w:pStyle w:val="906"/>
        <w:tabs>
          <w:tab w:val="right" w:leader="dot" w:pos="9099"/>
        </w:tabs>
        <w:spacing/>
        <w:ind/>
        <w:rPr/>
      </w:pPr>
      <w:r/>
      <w:hyperlink w:tooltip="#_Toc3" w:anchor="_Toc3" w:history="1">
        <w:r>
          <w:rPr>
            <w:rStyle w:val="902"/>
          </w:rPr>
        </w:r>
        <w:r>
          <w:rPr>
            <w:rStyle w:val="902"/>
            <w:rFonts w:ascii="Arial" w:hAnsi="Arial"/>
          </w:rPr>
          <w:t xml:space="preserve">2.1 Definición y concepto</w:t>
        </w:r>
        <w:r>
          <w:rPr>
            <w:rStyle w:val="902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1</w:t>
          <w:fldChar w:fldCharType="end"/>
        </w:r>
      </w:hyperlink>
      <w:r/>
      <w:r/>
    </w:p>
    <w:p w14:paraId="05F7540E">
      <w:pPr>
        <w:pStyle w:val="906"/>
        <w:tabs>
          <w:tab w:val="right" w:leader="dot" w:pos="9099"/>
        </w:tabs>
        <w:spacing/>
        <w:ind/>
        <w:rPr/>
      </w:pPr>
      <w:r/>
      <w:hyperlink w:tooltip="#_Toc4" w:anchor="_Toc4" w:history="1">
        <w:r>
          <w:rPr>
            <w:rStyle w:val="902"/>
          </w:rPr>
        </w:r>
        <w:r>
          <w:rPr>
            <w:rStyle w:val="902"/>
            <w:rFonts w:ascii="Arial" w:hAnsi="Arial"/>
          </w:rPr>
          <w:t xml:space="preserve">2.2 Cómo se Desarrollan</w:t>
        </w:r>
        <w:r>
          <w:rPr>
            <w:rStyle w:val="902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1</w:t>
          <w:fldChar w:fldCharType="end"/>
        </w:r>
      </w:hyperlink>
      <w:r/>
      <w:r/>
    </w:p>
    <w:p w14:paraId="129473B1">
      <w:pPr>
        <w:pStyle w:val="906"/>
        <w:tabs>
          <w:tab w:val="right" w:leader="dot" w:pos="9099"/>
        </w:tabs>
        <w:spacing/>
        <w:ind/>
        <w:rPr/>
      </w:pPr>
      <w:r/>
      <w:hyperlink w:tooltip="#_Toc5" w:anchor="_Toc5" w:history="1">
        <w:r>
          <w:rPr>
            <w:rStyle w:val="902"/>
          </w:rPr>
        </w:r>
        <w:r>
          <w:rPr>
            <w:rStyle w:val="902"/>
            <w:rFonts w:ascii="Arial" w:hAnsi="Arial"/>
          </w:rPr>
          <w:t xml:space="preserve">2.3 En Qué Casos Son Usados</w:t>
        </w:r>
        <w:r>
          <w:rPr>
            <w:rStyle w:val="902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2</w:t>
          <w:fldChar w:fldCharType="end"/>
        </w:r>
      </w:hyperlink>
      <w:r/>
      <w:r/>
    </w:p>
    <w:p w14:paraId="53822789">
      <w:pPr>
        <w:pStyle w:val="906"/>
        <w:tabs>
          <w:tab w:val="right" w:leader="dot" w:pos="9099"/>
        </w:tabs>
        <w:spacing/>
        <w:ind/>
        <w:rPr/>
      </w:pPr>
      <w:r/>
      <w:hyperlink w:tooltip="#_Toc6" w:anchor="_Toc6" w:history="1">
        <w:r>
          <w:rPr>
            <w:rStyle w:val="902"/>
          </w:rPr>
        </w:r>
        <w:r>
          <w:rPr>
            <w:rStyle w:val="902"/>
            <w:rFonts w:ascii="Arial" w:hAnsi="Arial"/>
          </w:rPr>
          <w:t xml:space="preserve">2.4 Ejemplo de Aplicación en Ingeniería de Sistemas</w:t>
        </w:r>
        <w:r>
          <w:rPr>
            <w:rStyle w:val="902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3</w:t>
          <w:fldChar w:fldCharType="end"/>
        </w:r>
      </w:hyperlink>
      <w:r/>
      <w:r/>
    </w:p>
    <w:p w14:paraId="7C87327B">
      <w:pPr>
        <w:pStyle w:val="905"/>
        <w:tabs>
          <w:tab w:val="right" w:leader="dot" w:pos="9099"/>
        </w:tabs>
        <w:spacing/>
        <w:ind/>
        <w:rPr/>
      </w:pPr>
      <w:r/>
      <w:hyperlink w:tooltip="#_Toc7" w:anchor="_Toc7" w:history="1">
        <w:r>
          <w:rPr>
            <w:rStyle w:val="902"/>
          </w:rPr>
        </w:r>
        <w:r>
          <w:rPr>
            <w:rStyle w:val="902"/>
            <w:rFonts w:ascii="Arial" w:hAnsi="Arial"/>
          </w:rPr>
          <w:t xml:space="preserve">3. Matriz “Boston Consulting Group” (BCG) y Posicionamiento</w:t>
        </w:r>
        <w:r>
          <w:rPr>
            <w:rStyle w:val="902"/>
          </w:rPr>
        </w:r>
        <w:r>
          <w:tab/>
        </w:r>
        <w:r>
          <w:fldChar w:fldCharType="begin"/>
          <w:instrText xml:space="preserve">PAGEREF _Toc7 \h</w:instrText>
          <w:fldChar w:fldCharType="separate"/>
          <w:t xml:space="preserve">3</w:t>
          <w:fldChar w:fldCharType="end"/>
        </w:r>
      </w:hyperlink>
      <w:r/>
      <w:r/>
    </w:p>
    <w:p w14:paraId="7CA3B2A7">
      <w:pPr>
        <w:pStyle w:val="906"/>
        <w:tabs>
          <w:tab w:val="right" w:leader="dot" w:pos="9099"/>
        </w:tabs>
        <w:spacing/>
        <w:ind/>
        <w:rPr/>
      </w:pPr>
      <w:r/>
      <w:hyperlink w:tooltip="#_Toc8" w:anchor="_Toc8" w:history="1">
        <w:r>
          <w:rPr>
            <w:rStyle w:val="902"/>
          </w:rPr>
        </w:r>
        <w:r>
          <w:rPr>
            <w:rStyle w:val="902"/>
            <w:rFonts w:ascii="Arial" w:hAnsi="Arial"/>
          </w:rPr>
          <w:t xml:space="preserve">3.1 Definición y Concepto</w:t>
        </w:r>
        <w:r>
          <w:rPr>
            <w:rStyle w:val="902"/>
          </w:rPr>
        </w:r>
        <w:r>
          <w:tab/>
        </w:r>
        <w:r>
          <w:fldChar w:fldCharType="begin"/>
          <w:instrText xml:space="preserve">PAGEREF _Toc8 \h</w:instrText>
          <w:fldChar w:fldCharType="separate"/>
          <w:t xml:space="preserve">3</w:t>
          <w:fldChar w:fldCharType="end"/>
        </w:r>
      </w:hyperlink>
      <w:r/>
      <w:r/>
    </w:p>
    <w:p w14:paraId="6C59BCD8">
      <w:pPr>
        <w:pStyle w:val="906"/>
        <w:tabs>
          <w:tab w:val="right" w:leader="dot" w:pos="9099"/>
        </w:tabs>
        <w:spacing/>
        <w:ind/>
        <w:rPr/>
      </w:pPr>
      <w:r/>
      <w:hyperlink w:tooltip="#_Toc9" w:anchor="_Toc9" w:history="1">
        <w:r>
          <w:rPr>
            <w:rStyle w:val="902"/>
          </w:rPr>
        </w:r>
        <w:r>
          <w:rPr>
            <w:rStyle w:val="902"/>
            <w:rFonts w:ascii="Arial" w:hAnsi="Arial"/>
          </w:rPr>
          <w:t xml:space="preserve">3.2 Análisis de los 4 Cuadrantes y Posicionamiento</w:t>
        </w:r>
        <w:r>
          <w:rPr>
            <w:rStyle w:val="902"/>
          </w:rPr>
        </w:r>
        <w:r>
          <w:tab/>
        </w:r>
        <w:r>
          <w:fldChar w:fldCharType="begin"/>
          <w:instrText xml:space="preserve">PAGEREF _Toc9 \h</w:instrText>
          <w:fldChar w:fldCharType="separate"/>
          <w:t xml:space="preserve">4</w:t>
          <w:fldChar w:fldCharType="end"/>
        </w:r>
      </w:hyperlink>
      <w:r/>
      <w:r/>
    </w:p>
    <w:p w14:paraId="0511B32B">
      <w:pPr>
        <w:pStyle w:val="906"/>
        <w:tabs>
          <w:tab w:val="right" w:leader="dot" w:pos="9099"/>
        </w:tabs>
        <w:spacing/>
        <w:ind/>
        <w:rPr/>
      </w:pPr>
      <w:r/>
      <w:hyperlink w:tooltip="#_Toc10" w:anchor="_Toc10" w:history="1">
        <w:r>
          <w:rPr>
            <w:rStyle w:val="902"/>
          </w:rPr>
        </w:r>
        <w:r>
          <w:rPr>
            <w:rStyle w:val="902"/>
            <w:rFonts w:ascii="Arial" w:hAnsi="Arial"/>
          </w:rPr>
          <w:t xml:space="preserve">3.3 Cómo se Desarrolla el Análisis</w:t>
        </w:r>
        <w:r>
          <w:rPr>
            <w:rStyle w:val="902"/>
          </w:rPr>
        </w:r>
        <w:r>
          <w:tab/>
        </w:r>
        <w:r>
          <w:fldChar w:fldCharType="begin"/>
          <w:instrText xml:space="preserve">PAGEREF _Toc10 \h</w:instrText>
          <w:fldChar w:fldCharType="separate"/>
          <w:t xml:space="preserve">4</w:t>
          <w:fldChar w:fldCharType="end"/>
        </w:r>
      </w:hyperlink>
      <w:r/>
      <w:r/>
    </w:p>
    <w:p w14:paraId="3393D9B5">
      <w:pPr>
        <w:pStyle w:val="906"/>
        <w:tabs>
          <w:tab w:val="right" w:leader="dot" w:pos="9099"/>
        </w:tabs>
        <w:spacing/>
        <w:ind/>
        <w:rPr/>
      </w:pPr>
      <w:r/>
      <w:hyperlink w:tooltip="#_Toc11" w:anchor="_Toc11" w:history="1">
        <w:r>
          <w:rPr>
            <w:rStyle w:val="902"/>
          </w:rPr>
        </w:r>
        <w:r>
          <w:rPr>
            <w:rStyle w:val="902"/>
            <w:rFonts w:ascii="Arial" w:hAnsi="Arial"/>
          </w:rPr>
          <w:t xml:space="preserve">3.4 En Qué Casos Es Usada</w:t>
        </w:r>
        <w:r>
          <w:rPr>
            <w:rStyle w:val="902"/>
          </w:rPr>
        </w:r>
        <w:r>
          <w:tab/>
        </w:r>
        <w:r>
          <w:fldChar w:fldCharType="begin"/>
          <w:instrText xml:space="preserve">PAGEREF _Toc11 \h</w:instrText>
          <w:fldChar w:fldCharType="separate"/>
          <w:t xml:space="preserve">5</w:t>
          <w:fldChar w:fldCharType="end"/>
        </w:r>
      </w:hyperlink>
      <w:r/>
      <w:r/>
    </w:p>
    <w:p w14:paraId="4B4821FB">
      <w:pPr>
        <w:pStyle w:val="905"/>
        <w:tabs>
          <w:tab w:val="right" w:leader="dot" w:pos="9099"/>
        </w:tabs>
        <w:spacing/>
        <w:ind/>
        <w:rPr/>
      </w:pPr>
      <w:r/>
      <w:hyperlink w:tooltip="#_Toc12" w:anchor="_Toc12" w:history="1">
        <w:r>
          <w:rPr>
            <w:rStyle w:val="902"/>
          </w:rPr>
        </w:r>
        <w:r>
          <w:rPr>
            <w:rStyle w:val="902"/>
            <w:rFonts w:ascii="Arial" w:hAnsi="Arial"/>
          </w:rPr>
          <w:t xml:space="preserve">4. Estrategias de Comunicación Efectiva</w:t>
        </w:r>
        <w:r>
          <w:rPr>
            <w:rStyle w:val="902"/>
          </w:rPr>
        </w:r>
        <w:r>
          <w:tab/>
        </w:r>
        <w:r>
          <w:fldChar w:fldCharType="begin"/>
          <w:instrText xml:space="preserve">PAGEREF _Toc12 \h</w:instrText>
          <w:fldChar w:fldCharType="separate"/>
          <w:t xml:space="preserve">5</w:t>
          <w:fldChar w:fldCharType="end"/>
        </w:r>
      </w:hyperlink>
      <w:r/>
      <w:r/>
    </w:p>
    <w:p w14:paraId="287276A1">
      <w:pPr>
        <w:pStyle w:val="906"/>
        <w:tabs>
          <w:tab w:val="right" w:leader="dot" w:pos="9099"/>
        </w:tabs>
        <w:spacing/>
        <w:ind/>
        <w:rPr/>
      </w:pPr>
      <w:r/>
      <w:hyperlink w:tooltip="#_Toc13" w:anchor="_Toc13" w:history="1">
        <w:r>
          <w:rPr>
            <w:rStyle w:val="902"/>
          </w:rPr>
        </w:r>
        <w:r>
          <w:rPr>
            <w:rStyle w:val="902"/>
            <w:rFonts w:ascii="Arial" w:hAnsi="Arial"/>
          </w:rPr>
          <w:t xml:space="preserve">4.1 Definición y Concepto</w:t>
        </w:r>
        <w:r>
          <w:rPr>
            <w:rStyle w:val="902"/>
          </w:rPr>
        </w:r>
        <w:r>
          <w:tab/>
        </w:r>
        <w:r>
          <w:fldChar w:fldCharType="begin"/>
          <w:instrText xml:space="preserve">PAGEREF _Toc13 \h</w:instrText>
          <w:fldChar w:fldCharType="separate"/>
          <w:t xml:space="preserve">5</w:t>
          <w:fldChar w:fldCharType="end"/>
        </w:r>
      </w:hyperlink>
      <w:r/>
      <w:r/>
    </w:p>
    <w:p w14:paraId="0AF8F9D3">
      <w:pPr>
        <w:pStyle w:val="906"/>
        <w:tabs>
          <w:tab w:val="right" w:leader="dot" w:pos="9099"/>
        </w:tabs>
        <w:spacing/>
        <w:ind/>
        <w:rPr/>
      </w:pPr>
      <w:r/>
      <w:hyperlink w:tooltip="#_Toc14" w:anchor="_Toc14" w:history="1">
        <w:r>
          <w:rPr>
            <w:rStyle w:val="902"/>
          </w:rPr>
        </w:r>
        <w:r>
          <w:rPr>
            <w:rStyle w:val="902"/>
            <w:rFonts w:ascii="Arial" w:hAnsi="Arial"/>
          </w:rPr>
          <w:t xml:space="preserve">4.2 Tipos y Canales de Comunicación</w:t>
        </w:r>
        <w:r>
          <w:rPr>
            <w:rStyle w:val="902"/>
          </w:rPr>
        </w:r>
        <w:r>
          <w:tab/>
        </w:r>
        <w:r>
          <w:fldChar w:fldCharType="begin"/>
          <w:instrText xml:space="preserve">PAGEREF _Toc14 \h</w:instrText>
          <w:fldChar w:fldCharType="separate"/>
          <w:t xml:space="preserve">5</w:t>
          <w:fldChar w:fldCharType="end"/>
        </w:r>
      </w:hyperlink>
      <w:r/>
      <w:r/>
    </w:p>
    <w:p w14:paraId="56D821E8">
      <w:pPr>
        <w:pStyle w:val="906"/>
        <w:tabs>
          <w:tab w:val="right" w:leader="dot" w:pos="9099"/>
        </w:tabs>
        <w:spacing/>
        <w:ind/>
        <w:rPr/>
      </w:pPr>
      <w:r/>
      <w:hyperlink w:tooltip="#_Toc15" w:anchor="_Toc15" w:history="1">
        <w:r>
          <w:rPr>
            <w:rStyle w:val="902"/>
          </w:rPr>
        </w:r>
        <w:r>
          <w:rPr>
            <w:rStyle w:val="902"/>
            <w:rFonts w:ascii="Arial" w:hAnsi="Arial"/>
          </w:rPr>
          <w:t xml:space="preserve">4.3 Cómo se Desarrollan las Estrategias de Comunicación</w:t>
        </w:r>
        <w:r>
          <w:rPr>
            <w:rStyle w:val="902"/>
          </w:rPr>
        </w:r>
        <w:r>
          <w:tab/>
        </w:r>
        <w:r>
          <w:fldChar w:fldCharType="begin"/>
          <w:instrText xml:space="preserve">PAGEREF _Toc15 \h</w:instrText>
          <w:fldChar w:fldCharType="separate"/>
          <w:t xml:space="preserve">6</w:t>
          <w:fldChar w:fldCharType="end"/>
        </w:r>
      </w:hyperlink>
      <w:r/>
      <w:r/>
    </w:p>
    <w:p w14:paraId="75935553">
      <w:pPr>
        <w:pStyle w:val="906"/>
        <w:tabs>
          <w:tab w:val="right" w:leader="dot" w:pos="9099"/>
        </w:tabs>
        <w:spacing/>
        <w:ind/>
        <w:rPr/>
      </w:pPr>
      <w:r/>
      <w:hyperlink w:tooltip="#_Toc16" w:anchor="_Toc16" w:history="1">
        <w:r>
          <w:rPr>
            <w:rStyle w:val="902"/>
          </w:rPr>
        </w:r>
        <w:r>
          <w:rPr>
            <w:rStyle w:val="902"/>
            <w:rFonts w:ascii="Arial" w:hAnsi="Arial"/>
          </w:rPr>
          <w:t xml:space="preserve">4.4 En Qué Casos Son Usadas</w:t>
        </w:r>
        <w:r>
          <w:rPr>
            <w:rStyle w:val="902"/>
          </w:rPr>
        </w:r>
        <w:r>
          <w:tab/>
        </w:r>
        <w:r>
          <w:fldChar w:fldCharType="begin"/>
          <w:instrText xml:space="preserve">PAGEREF _Toc16 \h</w:instrText>
          <w:fldChar w:fldCharType="separate"/>
          <w:t xml:space="preserve">6</w:t>
          <w:fldChar w:fldCharType="end"/>
        </w:r>
      </w:hyperlink>
      <w:r/>
      <w:r/>
    </w:p>
    <w:p w14:paraId="596ED3F4">
      <w:pPr>
        <w:pStyle w:val="906"/>
        <w:tabs>
          <w:tab w:val="right" w:leader="dot" w:pos="9099"/>
        </w:tabs>
        <w:spacing/>
        <w:ind/>
        <w:rPr/>
      </w:pPr>
      <w:r/>
      <w:hyperlink w:tooltip="#_Toc17" w:anchor="_Toc17" w:history="1">
        <w:r>
          <w:rPr>
            <w:rStyle w:val="902"/>
          </w:rPr>
        </w:r>
        <w:r>
          <w:rPr>
            <w:rStyle w:val="902"/>
            <w:rFonts w:ascii="Arial" w:hAnsi="Arial"/>
          </w:rPr>
          <w:t xml:space="preserve">4.5 Ejemplo de Aplicación en Ingeniería de Sistemas</w:t>
        </w:r>
        <w:r>
          <w:rPr>
            <w:rStyle w:val="902"/>
          </w:rPr>
        </w:r>
        <w:r>
          <w:tab/>
        </w:r>
        <w:r>
          <w:fldChar w:fldCharType="begin"/>
          <w:instrText xml:space="preserve">PAGEREF _Toc17 \h</w:instrText>
          <w:fldChar w:fldCharType="separate"/>
          <w:t xml:space="preserve">7</w:t>
          <w:fldChar w:fldCharType="end"/>
        </w:r>
      </w:hyperlink>
      <w:r/>
      <w:r/>
    </w:p>
    <w:p w14:paraId="5EF36CE4">
      <w:pPr>
        <w:pStyle w:val="905"/>
        <w:tabs>
          <w:tab w:val="right" w:leader="dot" w:pos="9099"/>
        </w:tabs>
        <w:spacing/>
        <w:ind/>
        <w:rPr/>
      </w:pPr>
      <w:r/>
      <w:hyperlink w:tooltip="#_Toc18" w:anchor="_Toc18" w:history="1">
        <w:r>
          <w:rPr>
            <w:rStyle w:val="902"/>
          </w:rPr>
        </w:r>
        <w:r>
          <w:rPr>
            <w:rStyle w:val="902"/>
            <w:rFonts w:ascii="Arial" w:hAnsi="Arial"/>
          </w:rPr>
          <w:t xml:space="preserve">5. Conclusiones</w:t>
        </w:r>
        <w:r>
          <w:rPr>
            <w:rStyle w:val="902"/>
          </w:rPr>
        </w:r>
        <w:r>
          <w:tab/>
        </w:r>
        <w:r>
          <w:fldChar w:fldCharType="begin"/>
          <w:instrText xml:space="preserve">PAGEREF _Toc18 \h</w:instrText>
          <w:fldChar w:fldCharType="separate"/>
          <w:t xml:space="preserve">7</w:t>
          <w:fldChar w:fldCharType="end"/>
        </w:r>
      </w:hyperlink>
      <w:r/>
      <w:r/>
    </w:p>
    <w:p w14:paraId="2AD2BF23">
      <w:pPr>
        <w:pStyle w:val="904"/>
        <w:tabs>
          <w:tab w:val="right" w:leader="dot" w:pos="9099"/>
        </w:tabs>
        <w:spacing/>
        <w:ind/>
        <w:rPr/>
      </w:pPr>
      <w:r/>
      <w:hyperlink w:tooltip="#_Toc19" w:anchor="_Toc19" w:history="1">
        <w:r>
          <w:rPr>
            <w:rStyle w:val="902"/>
          </w:rPr>
        </w:r>
        <w:r>
          <w:rPr>
            <w:rStyle w:val="902"/>
            <w:rFonts w:ascii="Arial" w:hAnsi="Arial"/>
          </w:rPr>
          <w:t xml:space="preserve">BIBLIOGRAFÍA</w:t>
        </w:r>
        <w:r>
          <w:rPr>
            <w:rStyle w:val="902"/>
          </w:rPr>
        </w:r>
        <w:r>
          <w:tab/>
        </w:r>
        <w:r>
          <w:fldChar w:fldCharType="begin"/>
          <w:instrText xml:space="preserve">PAGEREF _Toc19 \h</w:instrText>
          <w:fldChar w:fldCharType="separate"/>
          <w:t xml:space="preserve">7</w:t>
          <w:fldChar w:fldCharType="end"/>
        </w:r>
      </w:hyperlink>
      <w:r/>
      <w:r/>
    </w:p>
    <w:p w14:paraId="430E0450">
      <w:pPr>
        <w:spacing/>
        <w:ind/>
        <w:rPr/>
      </w:pPr>
      <w:r>
        <w:fldChar w:fldCharType="end"/>
      </w:r>
      <w:r/>
    </w:p>
    <w:p>
      <w:pPr>
        <w:spacing/>
        <w:ind/>
        <w:rPr/>
        <w:sectPr>
          <w:headerReference w:type="default" r:id="rId9"/>
          <w:headerReference w:type="first" r:id="rId10"/>
          <w:footnotePr/>
          <w:endnotePr/>
          <w:type w:val="nextPage"/>
          <w:pgSz w:h="15840" w:orient="portrait" w:w="12240"/>
          <w:pgMar w:top="1440" w:right="1440" w:bottom="1440" w:left="1701" w:header="720" w:footer="720" w:gutter="0"/>
          <w:pgNumType w:fmt="upperRoman" w:start="1"/>
          <w:cols w:num="1" w:sep="0" w:space="720" w:equalWidth="1"/>
          <w:titlePg/>
        </w:sectPr>
      </w:pPr>
      <w:r/>
      <w:r/>
    </w:p>
    <w:p>
      <w:pPr>
        <w:pStyle w:val="921"/>
        <w:spacing/>
        <w:ind/>
        <w:rPr/>
      </w:pPr>
      <w:r/>
      <w:bookmarkStart w:id="2" w:name="_Toc2"/>
      <w:r>
        <w:rPr>
          <w:rFonts w:ascii="Arial" w:hAnsi="Arial"/>
          <w:color w:val="000000"/>
        </w:rPr>
        <w:t xml:space="preserve">2. Establecimiento de los Objetivos Estratégicos</w:t>
      </w:r>
      <w:bookmarkEnd w:id="2"/>
      <w:r/>
      <w:r/>
    </w:p>
    <w:p>
      <w:pPr>
        <w:pStyle w:val="922"/>
        <w:spacing/>
        <w:ind/>
        <w:rPr/>
      </w:pPr>
      <w:r/>
      <w:bookmarkStart w:id="3" w:name="_Toc3"/>
      <w:r>
        <w:rPr>
          <w:rFonts w:ascii="Arial" w:hAnsi="Arial"/>
          <w:color w:val="000000"/>
        </w:rPr>
        <w:t xml:space="preserve">2.1 Definición y concepto</w:t>
      </w:r>
      <w:bookmarkEnd w:id="3"/>
      <w:r/>
      <w:r/>
    </w:p>
    <w:p>
      <w:pPr>
        <w:spacing w:after="0" w:before="0" w:line="360" w:lineRule="auto"/>
        <w:ind w:firstLine="709"/>
        <w:rPr/>
      </w:pPr>
      <w:r>
        <w:rPr>
          <w:rFonts w:ascii="Arial" w:hAnsi="Arial"/>
          <w:b/>
          <w:i w:val="0"/>
          <w:color w:val="000000"/>
          <w:sz w:val="24"/>
        </w:rPr>
        <w:t xml:space="preserve">Los Objetivos Estratégicos</w:t>
      </w:r>
      <w:r>
        <w:rPr>
          <w:rFonts w:ascii="Arial" w:hAnsi="Arial"/>
          <w:b w:val="0"/>
          <w:i w:val="0"/>
          <w:color w:val="000000"/>
          <w:sz w:val="24"/>
        </w:rPr>
        <w:t xml:space="preserve"> son las metas cuantitativas y cualitativas de alto nivel que una organización define para alcanzar en un horizonte temporal de mediano o largo plazo (generalmente de 3 a 5 años). Representan la operacionalización del </w:t>
      </w:r>
      <w:r>
        <w:rPr>
          <w:rFonts w:ascii="Arial" w:hAnsi="Arial"/>
          <w:b/>
          <w:i w:val="0"/>
          <w:color w:val="000000"/>
          <w:sz w:val="24"/>
        </w:rPr>
        <w:t xml:space="preserve">Objetivo General</w:t>
      </w:r>
      <w:r>
        <w:rPr>
          <w:rFonts w:ascii="Arial" w:hAnsi="Arial"/>
          <w:b w:val="0"/>
          <w:i w:val="0"/>
          <w:color w:val="000000"/>
          <w:sz w:val="24"/>
        </w:rPr>
        <w:t xml:space="preserve">, desglosándolo en logros concretos por cada dimensión funcional de la empresa (David y David, 2017).</w:t>
      </w:r>
      <w:r/>
    </w:p>
    <w:p>
      <w:pPr>
        <w:spacing w:after="0" w:before="0" w:line="360" w:lineRule="auto"/>
        <w:ind w:firstLine="709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En el marco de la </w:t>
      </w:r>
      <w:r>
        <w:rPr>
          <w:rFonts w:ascii="Arial" w:hAnsi="Arial"/>
          <w:b/>
          <w:i w:val="0"/>
          <w:color w:val="000000"/>
          <w:sz w:val="24"/>
        </w:rPr>
        <w:t xml:space="preserve">Ingeniería de Sistemas</w:t>
      </w:r>
      <w:r>
        <w:rPr>
          <w:rFonts w:ascii="Arial" w:hAnsi="Arial"/>
          <w:b w:val="0"/>
          <w:i w:val="0"/>
          <w:color w:val="000000"/>
          <w:sz w:val="24"/>
        </w:rPr>
        <w:t xml:space="preserve">, los objetivos estratégicos conectan las metas de negocio con los activos tecnológicos, garantizando que el desarrollo de software, la infraestructura de TI y la gestión de datos aporten valor real a la organización (Kaplan y Norton, 1996).</w:t>
      </w:r>
      <w:r/>
    </w:p>
    <w:p>
      <w:pPr>
        <w:pStyle w:val="922"/>
        <w:spacing/>
        <w:ind/>
        <w:rPr/>
      </w:pPr>
      <w:r/>
      <w:bookmarkStart w:id="4" w:name="_Toc4"/>
      <w:r>
        <w:rPr>
          <w:rFonts w:ascii="Arial" w:hAnsi="Arial"/>
          <w:color w:val="000000"/>
        </w:rPr>
        <w:t xml:space="preserve">2.2 Cómo se Desarrollan</w:t>
      </w:r>
      <w:bookmarkEnd w:id="4"/>
      <w:r/>
      <w:r/>
    </w:p>
    <w:p>
      <w:pPr>
        <w:spacing w:after="0" w:before="0" w:line="360" w:lineRule="auto"/>
        <w:ind w:firstLine="709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El proceso metodológico para la formulación de objetivos estratégicos sigue una secuencia lógica:</w:t>
      </w:r>
      <w:r/>
    </w:p>
    <w:p>
      <w:pPr>
        <w:spacing w:after="0" w:before="0" w:line="240" w:lineRule="auto"/>
        <w:ind w:firstLine="0" w:left="850"/>
        <w:rPr/>
      </w:pPr>
      <w:r>
        <w:rPr>
          <w:rFonts w:ascii="Courier New" w:hAnsi="Courier New"/>
          <w:color w:val="000000"/>
          <w:sz w:val="18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26646" cy="32913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81405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4615" t="1380" r="7016" b="12235"/>
                        <a:stretch/>
                      </pic:blipFill>
                      <pic:spPr bwMode="auto">
                        <a:xfrm flipH="0" flipV="0">
                          <a:off x="0" y="0"/>
                          <a:ext cx="4026644" cy="3291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7.06pt;height:259.16pt;mso-wrap-distance-left:0.00pt;mso-wrap-distance-top:0.00pt;mso-wrap-distance-right:0.00pt;mso-wrap-distance-bottom:0.00pt;z-index:1;" stroked="false">
                <v:imagedata r:id="rId14" o:title="" croptop="904f" cropleft="3024f" cropbottom="8018f" cropright="4598f"/>
                <o:lock v:ext="edit" rotation="t"/>
              </v:shape>
            </w:pict>
          </mc:Fallback>
        </mc:AlternateContent>
      </w:r>
      <w:r>
        <w:rPr>
          <w:rFonts w:ascii="Courier New" w:hAnsi="Courier New"/>
          <w:color w:val="000000"/>
          <w:sz w:val="18"/>
        </w:rPr>
      </w:r>
      <w:r/>
    </w:p>
    <w:p>
      <w:pPr>
        <w:spacing w:after="0" w:before="0" w:line="360" w:lineRule="auto"/>
        <w:ind w:hanging="454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1. </w:t>
      </w:r>
      <w:r>
        <w:rPr>
          <w:rFonts w:ascii="Arial" w:hAnsi="Arial"/>
          <w:b/>
          <w:i w:val="0"/>
          <w:color w:val="000000"/>
          <w:sz w:val="24"/>
        </w:rPr>
        <w:t xml:space="preserve">Alineación con el diagnóstico: </w:t>
      </w:r>
      <w:r>
        <w:rPr>
          <w:rFonts w:ascii="Arial" w:hAnsi="Arial"/>
          <w:b w:val="0"/>
          <w:i w:val="0"/>
          <w:color w:val="000000"/>
          <w:sz w:val="24"/>
        </w:rPr>
        <w:t xml:space="preserve">se derivan de cruzar las fortalezas y oportunidades del análisis FODA (por ejemplo, aprovechar una fortaleza técnica para capturar una oportunidad de mercado).</w:t>
      </w:r>
      <w:r/>
    </w:p>
    <w:p>
      <w:pPr>
        <w:spacing w:after="0" w:before="0" w:line="360" w:lineRule="auto"/>
        <w:ind w:hanging="454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2. </w:t>
      </w:r>
      <w:r>
        <w:rPr>
          <w:rFonts w:ascii="Arial" w:hAnsi="Arial"/>
          <w:b/>
          <w:i w:val="0"/>
          <w:color w:val="000000"/>
          <w:sz w:val="24"/>
        </w:rPr>
        <w:t xml:space="preserve">Aplicación de criterios SMART: </w:t>
      </w:r>
      <w:r>
        <w:rPr>
          <w:rFonts w:ascii="Arial" w:hAnsi="Arial"/>
          <w:b w:val="0"/>
          <w:i w:val="0"/>
          <w:color w:val="000000"/>
          <w:sz w:val="24"/>
        </w:rPr>
        <w:t xml:space="preserve">cada objetivo debe formularse bajo cinco atributos verificables.</w:t>
      </w:r>
      <w:r/>
    </w:p>
    <w:p>
      <w:pPr>
        <w:spacing w:after="0" w:before="0" w:line="360" w:lineRule="auto"/>
        <w:ind w:hanging="482" w:left="1701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/>
          <w:i w:val="0"/>
          <w:color w:val="000000"/>
          <w:sz w:val="24"/>
        </w:rPr>
        <w:t xml:space="preserve">S (Specific / Específico): </w:t>
      </w:r>
      <w:r>
        <w:rPr>
          <w:rFonts w:ascii="Arial" w:hAnsi="Arial"/>
          <w:b w:val="0"/>
          <w:i w:val="0"/>
          <w:color w:val="000000"/>
          <w:sz w:val="24"/>
        </w:rPr>
        <w:t xml:space="preserve">definir qué se va a lograr de manera clara y sin ambigüedades.</w:t>
      </w:r>
      <w:r/>
    </w:p>
    <w:p>
      <w:pPr>
        <w:spacing w:after="0" w:before="0" w:line="360" w:lineRule="auto"/>
        <w:ind w:hanging="482" w:left="1701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/>
          <w:i w:val="0"/>
          <w:color w:val="000000"/>
          <w:sz w:val="24"/>
        </w:rPr>
        <w:t xml:space="preserve">M (Measurable / Medible): </w:t>
      </w:r>
      <w:r>
        <w:rPr>
          <w:rFonts w:ascii="Arial" w:hAnsi="Arial"/>
          <w:b w:val="0"/>
          <w:i w:val="0"/>
          <w:color w:val="000000"/>
          <w:sz w:val="24"/>
        </w:rPr>
        <w:t xml:space="preserve">asociar el objetivo a un indicador clave de rendimiento (KPI).</w:t>
      </w:r>
      <w:r/>
    </w:p>
    <w:p>
      <w:pPr>
        <w:spacing w:after="0" w:before="0" w:line="360" w:lineRule="auto"/>
        <w:ind w:hanging="482" w:left="1701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</w:t>
      </w:r>
      <w:r>
        <w:rPr>
          <w:rFonts w:ascii="Arial" w:hAnsi="Arial"/>
          <w:b/>
          <w:i w:val="0"/>
          <w:color w:val="000000"/>
          <w:sz w:val="24"/>
        </w:rPr>
        <w:t xml:space="preserve">A (Achievable / Alcanzable): </w:t>
      </w:r>
      <w:r>
        <w:rPr>
          <w:rFonts w:ascii="Arial" w:hAnsi="Arial"/>
          <w:b w:val="0"/>
          <w:i w:val="0"/>
          <w:color w:val="000000"/>
          <w:sz w:val="24"/>
        </w:rPr>
        <w:t xml:space="preserve">garantizar que sea factible con los recursos disponibles.</w:t>
      </w:r>
      <w:r/>
    </w:p>
    <w:p>
      <w:pPr>
        <w:spacing w:after="0" w:before="0" w:line="360" w:lineRule="auto"/>
        <w:ind w:hanging="482" w:left="1701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/>
          <w:i w:val="0"/>
          <w:color w:val="000000"/>
          <w:sz w:val="24"/>
        </w:rPr>
        <w:t xml:space="preserve">R (Relevant / Relevante): </w:t>
      </w:r>
      <w:r>
        <w:rPr>
          <w:rFonts w:ascii="Arial" w:hAnsi="Arial"/>
          <w:b w:val="0"/>
          <w:i w:val="0"/>
          <w:color w:val="000000"/>
          <w:sz w:val="24"/>
        </w:rPr>
        <w:t xml:space="preserve">orientarlo directamente a las prioridades del negocio.</w:t>
      </w:r>
      <w:r/>
    </w:p>
    <w:p>
      <w:pPr>
        <w:spacing w:after="0" w:before="0" w:line="360" w:lineRule="auto"/>
        <w:ind w:hanging="482" w:left="1701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</w:t>
      </w:r>
      <w:r>
        <w:rPr>
          <w:rFonts w:ascii="Arial" w:hAnsi="Arial"/>
          <w:b/>
          <w:i w:val="0"/>
          <w:color w:val="000000"/>
          <w:sz w:val="24"/>
        </w:rPr>
        <w:t xml:space="preserve">T (Time-bound / Temporal): </w:t>
      </w:r>
      <w:r>
        <w:rPr>
          <w:rFonts w:ascii="Arial" w:hAnsi="Arial"/>
          <w:b w:val="0"/>
          <w:i w:val="0"/>
          <w:color w:val="000000"/>
          <w:sz w:val="24"/>
        </w:rPr>
        <w:t xml:space="preserve">asignar un plazo estricto de cumplimiento.</w:t>
      </w:r>
      <w:r/>
    </w:p>
    <w:p>
      <w:pPr>
        <w:spacing w:after="0" w:before="0" w:line="360" w:lineRule="auto"/>
        <w:ind w:hanging="454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3. </w:t>
      </w:r>
      <w:r>
        <w:rPr>
          <w:rFonts w:ascii="Arial" w:hAnsi="Arial"/>
          <w:b/>
          <w:i w:val="0"/>
          <w:color w:val="000000"/>
          <w:sz w:val="24"/>
        </w:rPr>
        <w:t xml:space="preserve">Mapeo por perspectiva: </w:t>
      </w:r>
      <w:r>
        <w:rPr>
          <w:rFonts w:ascii="Arial" w:hAnsi="Arial"/>
          <w:b w:val="0"/>
          <w:i w:val="0"/>
          <w:color w:val="000000"/>
          <w:sz w:val="24"/>
        </w:rPr>
        <w:t xml:space="preserve">clasificar cada objetivo dentro de las cuatro perspectivas del Balanced Scorecard (Financiera, Cliente, Procesos Internos, Aprendizaje y Crecimiento).</w:t>
      </w:r>
      <w:r/>
    </w:p>
    <w:p>
      <w:pPr>
        <w:pStyle w:val="922"/>
        <w:spacing/>
        <w:ind/>
        <w:rPr/>
      </w:pPr>
      <w:r/>
      <w:bookmarkStart w:id="5" w:name="_Toc5"/>
      <w:r>
        <w:rPr>
          <w:rFonts w:ascii="Arial" w:hAnsi="Arial"/>
          <w:color w:val="000000"/>
        </w:rPr>
        <w:t xml:space="preserve">2.3 En Qué Casos Son Usados</w:t>
      </w:r>
      <w:bookmarkEnd w:id="5"/>
      <w:r/>
      <w:r/>
    </w:p>
    <w:p>
      <w:pPr>
        <w:spacing w:after="0" w:before="0" w:line="360" w:lineRule="auto"/>
        <w:ind w:hanging="482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/>
          <w:i w:val="0"/>
          <w:color w:val="000000"/>
          <w:sz w:val="24"/>
        </w:rPr>
        <w:t xml:space="preserve">Reestructuración o transformación digital: </w:t>
      </w:r>
      <w:r>
        <w:rPr>
          <w:rFonts w:ascii="Arial" w:hAnsi="Arial"/>
          <w:b w:val="0"/>
          <w:i w:val="0"/>
          <w:color w:val="000000"/>
          <w:sz w:val="24"/>
        </w:rPr>
        <w:t xml:space="preserve">cuando una empresa tradicional migra a arquitecturas en la nube o adopta modelos SaaS.</w:t>
      </w:r>
      <w:r/>
    </w:p>
    <w:p>
      <w:pPr>
        <w:spacing w:after="0" w:before="0" w:line="360" w:lineRule="auto"/>
        <w:ind w:hanging="482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/>
          <w:i w:val="0"/>
          <w:color w:val="000000"/>
          <w:sz w:val="24"/>
        </w:rPr>
        <w:t xml:space="preserve">Gestión de portafolio de proyectos (PPM): </w:t>
      </w:r>
      <w:r>
        <w:rPr>
          <w:rFonts w:ascii="Arial" w:hAnsi="Arial"/>
          <w:b w:val="0"/>
          <w:i w:val="0"/>
          <w:color w:val="000000"/>
          <w:sz w:val="24"/>
        </w:rPr>
        <w:t xml:space="preserve">para priorizar qué sistemas o proyectos de software deben financiarse y desarrollarse primero.</w:t>
      </w:r>
      <w:r/>
    </w:p>
    <w:p>
      <w:pPr>
        <w:spacing w:after="0" w:before="0" w:line="360" w:lineRule="auto"/>
        <w:ind w:hanging="482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/>
          <w:i w:val="0"/>
          <w:color w:val="000000"/>
          <w:sz w:val="24"/>
        </w:rPr>
        <w:t xml:space="preserve">Evaluación del desempeño: </w:t>
      </w:r>
      <w:r>
        <w:rPr>
          <w:rFonts w:ascii="Arial" w:hAnsi="Arial"/>
          <w:b w:val="0"/>
          <w:i w:val="0"/>
          <w:color w:val="000000"/>
          <w:sz w:val="24"/>
        </w:rPr>
        <w:t xml:space="preserve">para alinear las metas del equipo directivo y del área de ingeniería con los incentivos corporativos.</w:t>
      </w:r>
      <w:r/>
    </w:p>
    <w:p>
      <w:pPr>
        <w:pStyle w:val="921"/>
        <w:spacing/>
        <w:ind/>
        <w:rPr/>
      </w:pPr>
      <w:r/>
      <w:bookmarkStart w:id="7" w:name="_Toc7"/>
      <w:r>
        <w:rPr>
          <w:rFonts w:ascii="Arial" w:hAnsi="Arial"/>
          <w:color w:val="000000"/>
        </w:rPr>
        <w:t xml:space="preserve">3. Matriz “Boston Consulting Group” (BCG) y Posicionamiento</w:t>
      </w:r>
      <w:bookmarkEnd w:id="7"/>
      <w:r/>
      <w:r/>
    </w:p>
    <w:p>
      <w:pPr>
        <w:pStyle w:val="922"/>
        <w:spacing/>
        <w:ind/>
        <w:rPr/>
      </w:pPr>
      <w:r/>
      <w:bookmarkStart w:id="8" w:name="_Toc8"/>
      <w:r>
        <w:rPr>
          <w:rFonts w:ascii="Arial" w:hAnsi="Arial"/>
          <w:color w:val="000000"/>
        </w:rPr>
        <w:t xml:space="preserve">3.1 Definición y Concepto</w:t>
      </w:r>
      <w:bookmarkEnd w:id="8"/>
      <w:r/>
      <w:r/>
    </w:p>
    <w:p>
      <w:pPr>
        <w:spacing w:after="0" w:before="0" w:line="360" w:lineRule="auto"/>
        <w:ind w:firstLine="709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La </w:t>
      </w:r>
      <w:r>
        <w:rPr>
          <w:rFonts w:ascii="Arial" w:hAnsi="Arial"/>
          <w:b/>
          <w:i w:val="0"/>
          <w:color w:val="000000"/>
          <w:sz w:val="24"/>
        </w:rPr>
        <w:t xml:space="preserve">Matriz BCG</w:t>
      </w:r>
      <w:r>
        <w:rPr>
          <w:rFonts w:ascii="Arial" w:hAnsi="Arial"/>
          <w:b w:val="0"/>
          <w:i w:val="0"/>
          <w:color w:val="000000"/>
          <w:sz w:val="24"/>
        </w:rPr>
        <w:t xml:space="preserve"> (o matriz Crecimiento-Participación) es un modelo analítico d</w:t>
      </w:r>
      <w:r>
        <w:rPr>
          <w:rFonts w:ascii="Arial" w:hAnsi="Arial"/>
          <w:b w:val="0"/>
          <w:i w:val="0"/>
          <w:color w:val="000000"/>
          <w:sz w:val="24"/>
        </w:rPr>
        <w:t xml:space="preserve">e gestión estratégica desarrollado por Bruce D. Henderson para la firma Boston Consulting Group en 1970. Esta herramienta evalúa la cartera de productos o Unidades de Negocio Estratégicas (UNE) en función de dos variables bidimensionales (Henderson, 1970):</w:t>
      </w:r>
      <w:r/>
    </w:p>
    <w:p>
      <w:pPr>
        <w:keepNext w:val="true"/>
        <w:spacing w:after="60" w:before="120"/>
        <w:ind w:firstLine="0"/>
        <w:jc w:val="left"/>
        <w:rPr/>
      </w:pPr>
      <w:r>
        <w:rPr>
          <w:rFonts w:ascii="Arial" w:hAnsi="Arial"/>
          <w:b/>
          <w:i/>
          <w:color w:val="000000"/>
          <w:sz w:val="20"/>
        </w:rPr>
        <w:t xml:space="preserve">Tabla 2. Análisis de los cuadrantes de la matriz BCG.</w:t>
      </w:r>
      <w:r/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14"/>
        <w:gridCol w:w="2835"/>
        <w:gridCol w:w="2438"/>
        <w:gridCol w:w="1984"/>
      </w:tblGrid>
      <w:tr>
        <w:trPr>
          <w:cantSplit/>
          <w:tblHeader/>
        </w:trPr>
        <w:tc>
          <w:tcPr>
            <w:tcBorders>
              <w:top w:val="single" w:color="000000" w:sz="6" w:space="0"/>
              <w:bottom w:val="single" w:color="000000" w:sz="6" w:space="0"/>
            </w:tcBorders>
            <w:tcW w:w="181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/>
                <w:color w:val="000000"/>
                <w:sz w:val="20"/>
              </w:rPr>
              <w:t xml:space="preserve">Cuadrante</w:t>
            </w:r>
            <w:r/>
          </w:p>
        </w:tc>
        <w:tc>
          <w:tcPr>
            <w:tcBorders>
              <w:top w:val="single" w:color="000000" w:sz="6" w:space="0"/>
              <w:bottom w:val="single" w:color="000000" w:sz="6" w:space="0"/>
            </w:tcBorders>
            <w:tcW w:w="2835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/>
                <w:color w:val="000000"/>
                <w:sz w:val="20"/>
              </w:rPr>
              <w:t xml:space="preserve">Características financieras / operativas</w:t>
            </w:r>
            <w:r/>
          </w:p>
        </w:tc>
        <w:tc>
          <w:tcPr>
            <w:tcBorders>
              <w:top w:val="single" w:color="000000" w:sz="6" w:space="0"/>
              <w:bottom w:val="single" w:color="000000" w:sz="6" w:space="0"/>
            </w:tcBorders>
            <w:tcW w:w="2438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/>
                <w:color w:val="000000"/>
                <w:sz w:val="20"/>
              </w:rPr>
              <w:t xml:space="preserve">Estrategia recomendada</w:t>
            </w:r>
            <w:r/>
          </w:p>
        </w:tc>
        <w:tc>
          <w:tcPr>
            <w:tcBorders>
              <w:top w:val="single" w:color="000000" w:sz="6" w:space="0"/>
              <w:bottom w:val="single" w:color="000000" w:sz="6" w:space="0"/>
            </w:tcBorders>
            <w:tcW w:w="198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/>
                <w:color w:val="000000"/>
                <w:sz w:val="20"/>
              </w:rPr>
              <w:t xml:space="preserve">Ejemplo en empresas de TI / software</w:t>
            </w:r>
            <w:r/>
          </w:p>
        </w:tc>
      </w:tr>
      <w:tr>
        <w:trPr>
          <w:cantSplit/>
        </w:trPr>
        <w:tc>
          <w:tcPr>
            <w:tcBorders/>
            <w:tcW w:w="181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Estrella (High Growth / High Share)</w:t>
            </w:r>
            <w:r/>
          </w:p>
        </w:tc>
        <w:tc>
          <w:tcPr>
            <w:tcBorders/>
            <w:tcW w:w="2835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Alto crecimiento y alta participación. Generan grandes ingresos pero requieren alta inversión para mantener el liderazgo.</w:t>
            </w:r>
            <w:r/>
          </w:p>
        </w:tc>
        <w:tc>
          <w:tcPr>
            <w:tcBorders/>
            <w:tcW w:w="2438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Invertir y mantener: consolidar infraestructura y escalar la capacidad operativa.</w:t>
            </w:r>
            <w:r/>
          </w:p>
        </w:tc>
        <w:tc>
          <w:tcPr>
            <w:tcBorders/>
            <w:tcW w:w="198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Plataformas de IA generativa en expansión corporativa (por ejemplo, OpenAI enterprise).</w:t>
            </w:r>
            <w:r/>
          </w:p>
        </w:tc>
      </w:tr>
      <w:tr>
        <w:trPr>
          <w:cantSplit/>
        </w:trPr>
        <w:tc>
          <w:tcPr>
            <w:tcBorders/>
            <w:tcW w:w="181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Vaca Lechera (Low Growth / High Share)</w:t>
            </w:r>
            <w:r/>
          </w:p>
        </w:tc>
        <w:tc>
          <w:tcPr>
            <w:tcBorders/>
            <w:tcW w:w="2835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Bajo crecimiento y alta participación. Generan excedentes de caja constantes con mínimos costos de reinversión.</w:t>
            </w:r>
            <w:r/>
          </w:p>
        </w:tc>
        <w:tc>
          <w:tcPr>
            <w:tcBorders/>
            <w:tcW w:w="2438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Ordeñar o cosechar: utilizar el flujo de efectivo generado para financiar productos Estrella e Interrogante.</w:t>
            </w:r>
            <w:r/>
          </w:p>
        </w:tc>
        <w:tc>
          <w:tcPr>
            <w:tcBorders/>
            <w:tcW w:w="198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Sistemas ERP locales tradicionales o licencias de bases de datos relacionales maduras (por ejemplo, Oracle o SAP).</w:t>
            </w:r>
            <w:r/>
          </w:p>
        </w:tc>
      </w:tr>
      <w:tr>
        <w:trPr>
          <w:cantSplit/>
        </w:trPr>
        <w:tc>
          <w:tcPr>
            <w:tcBorders/>
            <w:tcW w:w="181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Signo de Interrogación (High Growth / Low Share)</w:t>
            </w:r>
            <w:r/>
          </w:p>
        </w:tc>
        <w:tc>
          <w:tcPr>
            <w:tcBorders/>
            <w:tcW w:w="2835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Alto crecimiento pero baja participación. Requieren mucha liquidez para competir; su futuro es incierto.</w:t>
            </w:r>
            <w:r/>
          </w:p>
        </w:tc>
        <w:tc>
          <w:tcPr>
            <w:tcBorders/>
            <w:tcW w:w="2438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Evaluar o seleccionar: decidir si invertir agresivamente para convertirlo en Estrella o desinvertir.</w:t>
            </w:r>
            <w:r/>
          </w:p>
        </w:tc>
        <w:tc>
          <w:tcPr>
            <w:tcBorders/>
            <w:tcW w:w="198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Nuevos módulos de analítica cuántica o blockchain empresarial.</w:t>
            </w:r>
            <w:r/>
          </w:p>
        </w:tc>
      </w:tr>
      <w:tr>
        <w:trPr>
          <w:cantSplit/>
        </w:trPr>
        <w:tc>
          <w:tcPr>
            <w:tcBorders>
              <w:bottom w:val="single" w:color="000000" w:sz="6" w:space="0"/>
            </w:tcBorders>
            <w:tcW w:w="181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Perro (Low Growth / Low Share)</w:t>
            </w:r>
            <w:r/>
          </w:p>
        </w:tc>
        <w:tc>
          <w:tcPr>
            <w:tcBorders>
              <w:bottom w:val="single" w:color="000000" w:sz="6" w:space="0"/>
            </w:tcBorders>
            <w:tcW w:w="2835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Bajo crecimiento y baja participación. Consumen recursos sin generar rendimientos significativos.</w:t>
            </w:r>
            <w:r/>
          </w:p>
        </w:tc>
        <w:tc>
          <w:tcPr>
            <w:tcBorders>
              <w:bottom w:val="single" w:color="000000" w:sz="6" w:space="0"/>
            </w:tcBorders>
            <w:tcW w:w="2438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Reestructurar o liquidar: eliminar del portafolio o descontinuar el soporte técnico.</w:t>
            </w:r>
            <w:r/>
          </w:p>
        </w:tc>
        <w:tc>
          <w:tcPr>
            <w:tcBorders>
              <w:bottom w:val="single" w:color="000000" w:sz="6" w:space="0"/>
            </w:tcBorders>
            <w:tcW w:w="1984" w:type="dxa"/>
          </w:tcPr>
          <w:p>
            <w:pPr>
              <w:spacing w:after="40" w:before="40" w:line="240" w:lineRule="auto"/>
              <w:ind w:firstLine="0"/>
              <w:jc w:val="left"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Alojamiento en servidores físicos dedicados legacy o software en lenguajes obsoletos.</w:t>
            </w:r>
            <w:r/>
          </w:p>
        </w:tc>
      </w:tr>
    </w:tbl>
    <w:p>
      <w:pPr>
        <w:spacing w:before="60"/>
        <w:ind w:firstLine="0"/>
        <w:jc w:val="left"/>
        <w:rPr/>
      </w:pPr>
      <w:r>
        <w:rPr>
          <w:rFonts w:ascii="Arial" w:hAnsi="Arial"/>
          <w:i/>
          <w:color w:val="000000"/>
          <w:sz w:val="18"/>
        </w:rPr>
        <w:t xml:space="preserve">Elaboración propia a partir de Henderson (1970) y Kotler y Keller (2016).</w:t>
      </w:r>
      <w:r/>
    </w:p>
    <w:p>
      <w:pPr>
        <w:pStyle w:val="922"/>
        <w:spacing/>
        <w:ind/>
        <w:rPr/>
      </w:pPr>
      <w:r/>
      <w:bookmarkStart w:id="10" w:name="_Toc10"/>
      <w:r>
        <w:rPr>
          <w:rFonts w:ascii="Arial" w:hAnsi="Arial"/>
          <w:color w:val="000000"/>
        </w:rPr>
        <w:t xml:space="preserve">3.3 Cómo se Desarrolla el Análisis</w:t>
      </w:r>
      <w:bookmarkEnd w:id="10"/>
      <w:r/>
      <w:r/>
    </w:p>
    <w:p>
      <w:pPr>
        <w:spacing w:after="0" w:before="0" w:line="360" w:lineRule="auto"/>
        <w:ind w:hanging="454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1. </w:t>
      </w:r>
      <w:r>
        <w:rPr>
          <w:rFonts w:ascii="Arial" w:hAnsi="Arial"/>
          <w:b/>
          <w:i w:val="0"/>
          <w:color w:val="000000"/>
          <w:sz w:val="24"/>
        </w:rPr>
        <w:t xml:space="preserve">Identificar las UNE o servicios: </w:t>
      </w:r>
      <w:r>
        <w:rPr>
          <w:rFonts w:ascii="Arial" w:hAnsi="Arial"/>
          <w:b w:val="0"/>
          <w:i w:val="0"/>
          <w:color w:val="000000"/>
          <w:sz w:val="24"/>
        </w:rPr>
        <w:t xml:space="preserve">definir la lista de productos o líneas de servicios tecnológicos de la empresa.</w:t>
      </w:r>
      <w:r/>
    </w:p>
    <w:p>
      <w:pPr>
        <w:spacing w:after="0" w:before="0" w:line="360" w:lineRule="auto"/>
        <w:ind w:hanging="454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2. </w:t>
      </w:r>
      <w:r>
        <w:rPr>
          <w:rFonts w:ascii="Arial" w:hAnsi="Arial"/>
          <w:b/>
          <w:i w:val="0"/>
          <w:color w:val="000000"/>
          <w:sz w:val="24"/>
        </w:rPr>
        <w:t xml:space="preserve">Calcular la cuota relativa de mercado: </w:t>
      </w:r>
      <w:r>
        <w:rPr>
          <w:rFonts w:ascii="Arial" w:hAnsi="Arial"/>
          <w:b w:val="0"/>
          <w:i w:val="0"/>
          <w:color w:val="000000"/>
          <w:sz w:val="24"/>
        </w:rPr>
        <w:t xml:space="preserve">comparar las ventas de la empresa frente a las de su competidor líder.</w:t>
      </w:r>
      <w:r/>
    </w:p>
    <w:p>
      <w:pPr>
        <w:spacing w:after="0" w:before="0" w:line="360" w:lineRule="auto"/>
        <w:ind w:hanging="454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3. </w:t>
      </w:r>
      <w:r>
        <w:rPr>
          <w:rFonts w:ascii="Arial" w:hAnsi="Arial"/>
          <w:b/>
          <w:i w:val="0"/>
          <w:color w:val="000000"/>
          <w:sz w:val="24"/>
        </w:rPr>
        <w:t xml:space="preserve">Determinar la tasa de crecimiento: </w:t>
      </w:r>
      <w:r>
        <w:rPr>
          <w:rFonts w:ascii="Arial" w:hAnsi="Arial"/>
          <w:b w:val="0"/>
          <w:i w:val="0"/>
          <w:color w:val="000000"/>
          <w:sz w:val="24"/>
        </w:rPr>
        <w:t xml:space="preserve">analizar la tasa de variación anual del sector o segmento.</w:t>
      </w:r>
      <w:r/>
    </w:p>
    <w:p>
      <w:pPr>
        <w:spacing w:after="0" w:before="0" w:line="360" w:lineRule="auto"/>
        <w:ind w:hanging="454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4. </w:t>
      </w:r>
      <w:r>
        <w:rPr>
          <w:rFonts w:ascii="Arial" w:hAnsi="Arial"/>
          <w:b/>
          <w:i w:val="0"/>
          <w:color w:val="000000"/>
          <w:sz w:val="24"/>
        </w:rPr>
        <w:t xml:space="preserve">Graficar los productos: </w:t>
      </w:r>
      <w:r>
        <w:rPr>
          <w:rFonts w:ascii="Arial" w:hAnsi="Arial"/>
          <w:b w:val="0"/>
          <w:i w:val="0"/>
          <w:color w:val="000000"/>
          <w:sz w:val="24"/>
        </w:rPr>
        <w:t xml:space="preserve">trazar círculos donde el tamaño representa la contribución en ingresos de cada producto.</w:t>
      </w:r>
      <w:r/>
    </w:p>
    <w:p>
      <w:pPr>
        <w:spacing w:after="120" w:before="120" w:line="360" w:lineRule="auto"/>
        <w:ind w:firstLine="0"/>
        <w:jc w:val="center"/>
        <w:rPr/>
      </w:pPr>
      <w:r>
        <w:rPr>
          <w:rFonts w:ascii="Arial" w:hAnsi="Arial"/>
          <w:b w:val="0"/>
          <w:i/>
          <w:color w:val="000000"/>
          <w:sz w:val="24"/>
        </w:rPr>
        <w:t xml:space="preserve">Cuota relativa de mercado = Ventas de la empresa / Ventas del competidor líder</w:t>
      </w:r>
      <w:r/>
    </w:p>
    <w:p>
      <w:pPr>
        <w:pStyle w:val="922"/>
        <w:spacing/>
        <w:ind/>
        <w:rPr/>
      </w:pPr>
      <w:r/>
      <w:bookmarkStart w:id="11" w:name="_Toc11"/>
      <w:r>
        <w:rPr>
          <w:rFonts w:ascii="Arial" w:hAnsi="Arial"/>
          <w:color w:val="000000"/>
        </w:rPr>
        <w:t xml:space="preserve">3.4 En Qué Casos Es Usada</w:t>
      </w:r>
      <w:bookmarkEnd w:id="11"/>
      <w:r/>
      <w:r/>
    </w:p>
    <w:p>
      <w:pPr>
        <w:spacing w:after="0" w:before="0" w:line="360" w:lineRule="auto"/>
        <w:ind w:hanging="482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/>
          <w:i w:val="0"/>
          <w:color w:val="000000"/>
          <w:sz w:val="24"/>
        </w:rPr>
        <w:t xml:space="preserve">Gestión del ciclo de vida del software: </w:t>
      </w:r>
      <w:r>
        <w:rPr>
          <w:rFonts w:ascii="Arial" w:hAnsi="Arial"/>
          <w:b w:val="0"/>
          <w:i w:val="0"/>
          <w:color w:val="000000"/>
          <w:sz w:val="24"/>
        </w:rPr>
        <w:t xml:space="preserve">para decidir cuándo retirar soporte a un sistema antiguo (legacy) y cuándo financiar una migración a la nube.</w:t>
      </w:r>
      <w:r/>
    </w:p>
    <w:p>
      <w:pPr>
        <w:spacing w:after="0" w:before="0" w:line="360" w:lineRule="auto"/>
        <w:ind w:hanging="482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/>
          <w:i w:val="0"/>
          <w:color w:val="000000"/>
          <w:sz w:val="24"/>
        </w:rPr>
        <w:t xml:space="preserve">Asignación del presupuesto tecnológico (I+D): </w:t>
      </w:r>
      <w:r>
        <w:rPr>
          <w:rFonts w:ascii="Arial" w:hAnsi="Arial"/>
          <w:b w:val="0"/>
          <w:i w:val="0"/>
          <w:color w:val="000000"/>
          <w:sz w:val="24"/>
        </w:rPr>
        <w:t xml:space="preserve">para no malgastar el presupuesto de desarrollo en tecnologías que están en declive.</w:t>
      </w:r>
      <w:r/>
    </w:p>
    <w:p>
      <w:pPr>
        <w:spacing w:after="0" w:before="0" w:line="360" w:lineRule="auto"/>
        <w:ind w:hanging="482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/>
          <w:i w:val="0"/>
          <w:color w:val="000000"/>
          <w:sz w:val="24"/>
        </w:rPr>
        <w:t xml:space="preserve">Fusiones y adquisiciones (M&amp;A): </w:t>
      </w:r>
      <w:r>
        <w:rPr>
          <w:rFonts w:ascii="Arial" w:hAnsi="Arial"/>
          <w:b w:val="0"/>
          <w:i w:val="0"/>
          <w:color w:val="000000"/>
          <w:sz w:val="24"/>
        </w:rPr>
        <w:t xml:space="preserve">para evaluar el portafolio de una startup tecnológica antes de comprarla.</w:t>
      </w:r>
      <w:r/>
    </w:p>
    <w:p>
      <w:pPr>
        <w:pStyle w:val="921"/>
        <w:spacing/>
        <w:ind/>
        <w:rPr/>
      </w:pPr>
      <w:r/>
      <w:bookmarkStart w:id="12" w:name="_Toc12"/>
      <w:r>
        <w:rPr>
          <w:rFonts w:ascii="Arial" w:hAnsi="Arial"/>
          <w:color w:val="000000"/>
        </w:rPr>
        <w:t xml:space="preserve">4. Estrategias de Comunicación Efectiva</w:t>
      </w:r>
      <w:bookmarkEnd w:id="12"/>
      <w:r/>
      <w:r/>
    </w:p>
    <w:p>
      <w:pPr>
        <w:pStyle w:val="922"/>
        <w:spacing/>
        <w:ind/>
        <w:rPr/>
      </w:pPr>
      <w:r/>
      <w:bookmarkStart w:id="13" w:name="_Toc13"/>
      <w:r>
        <w:rPr>
          <w:rFonts w:ascii="Arial" w:hAnsi="Arial"/>
          <w:color w:val="000000"/>
        </w:rPr>
        <w:t xml:space="preserve">4.1 Definición y Concepto</w:t>
      </w:r>
      <w:bookmarkEnd w:id="13"/>
      <w:r/>
      <w:r/>
    </w:p>
    <w:p>
      <w:pPr>
        <w:spacing w:after="0" w:before="0" w:line="360" w:lineRule="auto"/>
        <w:ind w:firstLine="709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La </w:t>
      </w:r>
      <w:r>
        <w:rPr>
          <w:rFonts w:ascii="Arial" w:hAnsi="Arial"/>
          <w:b/>
          <w:i w:val="0"/>
          <w:color w:val="000000"/>
          <w:sz w:val="24"/>
        </w:rPr>
        <w:t xml:space="preserve">Comunicación Efectiva</w:t>
      </w:r>
      <w:r>
        <w:rPr>
          <w:rFonts w:ascii="Arial" w:hAnsi="Arial"/>
          <w:b w:val="0"/>
          <w:i w:val="0"/>
          <w:color w:val="000000"/>
          <w:sz w:val="24"/>
        </w:rPr>
        <w:t xml:space="preserve"> en la gestión empresarial es el conjunto de procesos, canales y pro</w:t>
      </w:r>
      <w:r>
        <w:rPr>
          <w:rFonts w:ascii="Arial" w:hAnsi="Arial"/>
          <w:b w:val="0"/>
          <w:i w:val="0"/>
          <w:color w:val="000000"/>
          <w:sz w:val="24"/>
        </w:rPr>
        <w:t xml:space="preserve">tocolos diseñados para garantizar que la información estratégica (visión, políticas, requerimientos y metas) sea transmitida, comprendida y ejecutada correctamente sin distorsión (ruido) entre los distintos actores organizacionales (Robbins y Judge, 2018).</w:t>
      </w:r>
      <w:r/>
    </w:p>
    <w:p>
      <w:pPr>
        <w:spacing w:after="0" w:before="0" w:line="360" w:lineRule="auto"/>
        <w:ind w:firstLine="709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En entornos de </w:t>
      </w:r>
      <w:r>
        <w:rPr>
          <w:rFonts w:ascii="Arial" w:hAnsi="Arial"/>
          <w:b/>
          <w:i w:val="0"/>
          <w:color w:val="000000"/>
          <w:sz w:val="24"/>
        </w:rPr>
        <w:t xml:space="preserve">Ingeniería de Sistemas y Desarrollo de Software</w:t>
      </w:r>
      <w:r>
        <w:rPr>
          <w:rFonts w:ascii="Arial" w:hAnsi="Arial"/>
          <w:b w:val="0"/>
          <w:i w:val="0"/>
          <w:color w:val="000000"/>
          <w:sz w:val="24"/>
        </w:rPr>
        <w:t xml:space="preserve">, donde la complejidad técnica es alta, la comunicación efectiva actúa como el puente imprescindible entre los stakeholders de negocio (quienes tienen las necesidades) y los equipos técnicos (quienes construyen la solución) (Pressman y Maxim, 2020).</w:t>
      </w:r>
      <w:r/>
    </w:p>
    <w:p>
      <w:pPr>
        <w:pStyle w:val="922"/>
        <w:spacing/>
        <w:ind/>
        <w:rPr/>
      </w:pPr>
      <w:r/>
      <w:bookmarkStart w:id="14" w:name="_Toc14"/>
      <w:r>
        <w:rPr>
          <w:rFonts w:ascii="Arial" w:hAnsi="Arial"/>
          <w:color w:val="000000"/>
        </w:rPr>
        <w:t xml:space="preserve">4.2 Tipos y Canales de Comunicación</w:t>
      </w:r>
      <w:bookmarkEnd w:id="14"/>
      <w:r/>
      <w:r/>
    </w:p>
    <w:p>
      <w:pPr>
        <w:spacing w:after="0" w:before="120" w:line="360" w:lineRule="auto"/>
        <w:ind w:firstLine="0"/>
        <w:rPr/>
      </w:pPr>
      <w:r>
        <w:rPr>
          <w:rFonts w:ascii="Arial" w:hAnsi="Arial"/>
          <w:b/>
          <w:i w:val="0"/>
          <w:color w:val="000000"/>
          <w:sz w:val="24"/>
        </w:rPr>
        <w:t xml:space="preserve">Comunicación interna</w:t>
      </w:r>
      <w:r/>
    </w:p>
    <w:p>
      <w:pPr>
        <w:spacing w:after="0" w:before="0" w:line="360" w:lineRule="auto"/>
        <w:ind w:hanging="482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/>
          <w:i w:val="0"/>
          <w:color w:val="000000"/>
          <w:sz w:val="24"/>
        </w:rPr>
        <w:t xml:space="preserve">Descendente (Top-Down): </w:t>
      </w:r>
      <w:r>
        <w:rPr>
          <w:rFonts w:ascii="Arial" w:hAnsi="Arial"/>
          <w:b w:val="0"/>
          <w:i w:val="0"/>
          <w:color w:val="000000"/>
          <w:sz w:val="24"/>
        </w:rPr>
        <w:t xml:space="preserve">transmisión de metas de la alta dirección a los ingenieros y desarrolladores (por ejemplo, comunicados ejecutivos, town halls).</w:t>
      </w:r>
      <w:r/>
    </w:p>
    <w:p>
      <w:pPr>
        <w:spacing w:after="0" w:before="0" w:line="360" w:lineRule="auto"/>
        <w:ind w:hanging="482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/>
          <w:i w:val="0"/>
          <w:color w:val="000000"/>
          <w:sz w:val="24"/>
        </w:rPr>
        <w:t xml:space="preserve">Ascendente (Bottom-Up): </w:t>
      </w:r>
      <w:r>
        <w:rPr>
          <w:rFonts w:ascii="Arial" w:hAnsi="Arial"/>
          <w:b w:val="0"/>
          <w:i w:val="0"/>
          <w:color w:val="000000"/>
          <w:sz w:val="24"/>
        </w:rPr>
        <w:t xml:space="preserve">retroalimentación desde el equipo operativo hacia la gerencia (por ejemplo, reportes de riesgos, retrospectivas de sprints, métricas de error).</w:t>
      </w:r>
      <w:r/>
    </w:p>
    <w:p>
      <w:pPr>
        <w:spacing w:after="0" w:before="0" w:line="360" w:lineRule="auto"/>
        <w:ind w:hanging="482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/>
          <w:i w:val="0"/>
          <w:color w:val="000000"/>
          <w:sz w:val="24"/>
        </w:rPr>
        <w:t xml:space="preserve">Horizontal o cruzada: </w:t>
      </w:r>
      <w:r>
        <w:rPr>
          <w:rFonts w:ascii="Arial" w:hAnsi="Arial"/>
          <w:b w:val="0"/>
          <w:i w:val="0"/>
          <w:color w:val="000000"/>
          <w:sz w:val="24"/>
        </w:rPr>
        <w:t xml:space="preserve">colaboración directa entre áreas de desarrollo, ciberseguridad, infraestructura y calidad (por ejemplo, metodologías DevOps, cultura Agile).</w:t>
      </w:r>
      <w:r/>
    </w:p>
    <w:p>
      <w:pPr>
        <w:spacing w:after="0" w:before="120" w:line="360" w:lineRule="auto"/>
        <w:ind w:firstLine="0"/>
        <w:rPr/>
      </w:pPr>
      <w:r>
        <w:rPr>
          <w:rFonts w:ascii="Arial" w:hAnsi="Arial"/>
          <w:b/>
          <w:i w:val="0"/>
          <w:color w:val="000000"/>
          <w:sz w:val="24"/>
        </w:rPr>
        <w:t xml:space="preserve">Comunicación externa</w:t>
      </w:r>
      <w:r/>
    </w:p>
    <w:p>
      <w:pPr>
        <w:spacing w:after="0" w:before="0" w:line="360" w:lineRule="auto"/>
        <w:ind w:hanging="482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 w:val="0"/>
          <w:i w:val="0"/>
          <w:color w:val="000000"/>
          <w:sz w:val="24"/>
        </w:rPr>
        <w:t xml:space="preserve">Transmisión de valor hacia clientes, proveedores e inversionistas a través de portales de transparencia, release notes, documentación de API públicas y Acuerdos de Nivel de Servicio (SLA).</w:t>
      </w:r>
      <w:r/>
    </w:p>
    <w:p>
      <w:pPr>
        <w:pStyle w:val="922"/>
        <w:spacing/>
        <w:ind/>
        <w:rPr/>
      </w:pPr>
      <w:r/>
      <w:bookmarkStart w:id="15" w:name="_Toc15"/>
      <w:r>
        <w:rPr>
          <w:rFonts w:ascii="Arial" w:hAnsi="Arial"/>
          <w:color w:val="000000"/>
        </w:rPr>
        <w:t xml:space="preserve">4.3 Cómo se Desarrollan las Estrategias de Comunicación</w:t>
      </w:r>
      <w:bookmarkEnd w:id="15"/>
      <w:r/>
      <w:r/>
    </w:p>
    <w:p>
      <w:pPr>
        <w:spacing w:after="0" w:before="0" w:line="360" w:lineRule="auto"/>
        <w:ind w:hanging="454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1. </w:t>
      </w:r>
      <w:r>
        <w:rPr>
          <w:rFonts w:ascii="Arial" w:hAnsi="Arial"/>
          <w:b/>
          <w:i w:val="0"/>
          <w:color w:val="000000"/>
          <w:sz w:val="24"/>
        </w:rPr>
        <w:t xml:space="preserve">Definición de matriz de comunicación (stakeholder mapping): </w:t>
      </w:r>
      <w:r>
        <w:rPr>
          <w:rFonts w:ascii="Arial" w:hAnsi="Arial"/>
          <w:b w:val="0"/>
          <w:i w:val="0"/>
          <w:color w:val="000000"/>
          <w:sz w:val="24"/>
        </w:rPr>
        <w:t xml:space="preserve">identificar qué información requiere cada actor, con qué frecuencia y a través de qué canal.</w:t>
      </w:r>
      <w:r/>
    </w:p>
    <w:p>
      <w:pPr>
        <w:spacing w:after="0" w:before="0" w:line="360" w:lineRule="auto"/>
        <w:ind w:hanging="454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2. </w:t>
      </w:r>
      <w:r>
        <w:rPr>
          <w:rFonts w:ascii="Arial" w:hAnsi="Arial"/>
          <w:b/>
          <w:i w:val="0"/>
          <w:color w:val="000000"/>
          <w:sz w:val="24"/>
        </w:rPr>
        <w:t xml:space="preserve">Estandarización del lenguaje: </w:t>
      </w:r>
      <w:r>
        <w:rPr>
          <w:rFonts w:ascii="Arial" w:hAnsi="Arial"/>
          <w:b w:val="0"/>
          <w:i w:val="0"/>
          <w:color w:val="000000"/>
          <w:sz w:val="24"/>
        </w:rPr>
        <w:t xml:space="preserve">utilizar vocabularios y diagramaciones estándar (notación UML, arquitectura C4, lenguaje de negocio en BDD) para evitar ambigüedades entre ingenieros y clientes.</w:t>
      </w:r>
      <w:r/>
    </w:p>
    <w:p>
      <w:pPr>
        <w:spacing w:after="0" w:before="0" w:line="360" w:lineRule="auto"/>
        <w:ind w:hanging="454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3. </w:t>
      </w:r>
      <w:r>
        <w:rPr>
          <w:rFonts w:ascii="Arial" w:hAnsi="Arial"/>
          <w:b/>
          <w:i w:val="0"/>
          <w:color w:val="000000"/>
          <w:sz w:val="24"/>
        </w:rPr>
        <w:t xml:space="preserve">Selección del stack de herramientas: </w:t>
      </w:r>
      <w:r>
        <w:rPr>
          <w:rFonts w:ascii="Arial" w:hAnsi="Arial"/>
          <w:b w:val="0"/>
          <w:i w:val="0"/>
          <w:color w:val="000000"/>
          <w:sz w:val="24"/>
        </w:rPr>
        <w:t xml:space="preserve">implementar plataformas colaborativas integradas (por ejemplo, Jira, Confluence, Slack y dashboards automatizados).</w:t>
      </w:r>
      <w:r/>
    </w:p>
    <w:p>
      <w:pPr>
        <w:spacing w:after="0" w:before="0" w:line="360" w:lineRule="auto"/>
        <w:ind w:hanging="454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4. </w:t>
      </w:r>
      <w:r>
        <w:rPr>
          <w:rFonts w:ascii="Arial" w:hAnsi="Arial"/>
          <w:b/>
          <w:i w:val="0"/>
          <w:color w:val="000000"/>
          <w:sz w:val="24"/>
        </w:rPr>
        <w:t xml:space="preserve">Bucles de retroalimentación (feedback loops): </w:t>
      </w:r>
      <w:r>
        <w:rPr>
          <w:rFonts w:ascii="Arial" w:hAnsi="Arial"/>
          <w:b w:val="0"/>
          <w:i w:val="0"/>
          <w:color w:val="000000"/>
          <w:sz w:val="24"/>
        </w:rPr>
        <w:t xml:space="preserve">establecer reuniones cortas y sistemáticas (como las dailies o revisiones de avance) para corregir desviaciones tempranamente.</w:t>
      </w:r>
      <w:r/>
    </w:p>
    <w:p>
      <w:pPr>
        <w:pStyle w:val="922"/>
        <w:spacing/>
        <w:ind/>
        <w:rPr/>
      </w:pPr>
      <w:r/>
      <w:bookmarkStart w:id="16" w:name="_Toc16"/>
      <w:r>
        <w:rPr>
          <w:rFonts w:ascii="Arial" w:hAnsi="Arial"/>
          <w:color w:val="000000"/>
        </w:rPr>
        <w:t xml:space="preserve">4.4 En Qué Casos Son Usadas</w:t>
      </w:r>
      <w:bookmarkEnd w:id="16"/>
      <w:r/>
      <w:r/>
    </w:p>
    <w:p>
      <w:pPr>
        <w:spacing w:after="0" w:before="0" w:line="360" w:lineRule="auto"/>
        <w:ind w:hanging="482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/>
          <w:i w:val="0"/>
          <w:color w:val="000000"/>
          <w:sz w:val="24"/>
        </w:rPr>
        <w:t xml:space="preserve">Gestión del cambio organizacional: </w:t>
      </w:r>
      <w:r>
        <w:rPr>
          <w:rFonts w:ascii="Arial" w:hAnsi="Arial"/>
          <w:b w:val="0"/>
          <w:i w:val="0"/>
          <w:color w:val="000000"/>
          <w:sz w:val="24"/>
        </w:rPr>
        <w:t xml:space="preserve">al migrar la infraestructura de la empresa a un nuevo sistema ERP o CRM.</w:t>
      </w:r>
      <w:r/>
    </w:p>
    <w:p>
      <w:pPr>
        <w:spacing w:after="0" w:before="0" w:line="360" w:lineRule="auto"/>
        <w:ind w:hanging="482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/>
          <w:i w:val="0"/>
          <w:color w:val="000000"/>
          <w:sz w:val="24"/>
        </w:rPr>
        <w:t xml:space="preserve">Proyectos complejos de software (Agile/Scrum): </w:t>
      </w:r>
      <w:r>
        <w:rPr>
          <w:rFonts w:ascii="Arial" w:hAnsi="Arial"/>
          <w:b w:val="0"/>
          <w:i w:val="0"/>
          <w:color w:val="000000"/>
          <w:sz w:val="24"/>
        </w:rPr>
        <w:t xml:space="preserve">para alinear continuamente el trabajo de los programadores con los cambios en los requerimientos del cliente.</w:t>
      </w:r>
      <w:r/>
    </w:p>
    <w:p>
      <w:pPr>
        <w:spacing w:after="0" w:before="0" w:line="360" w:lineRule="auto"/>
        <w:ind w:hanging="482" w:left="850"/>
        <w:rPr/>
      </w:pPr>
      <w:r>
        <w:rPr>
          <w:rFonts w:ascii="Arial" w:hAnsi="Arial"/>
          <w:b w:val="0"/>
          <w:i w:val="0"/>
          <w:color w:val="000000"/>
          <w:sz w:val="24"/>
        </w:rPr>
        <w:t xml:space="preserve">  •  </w:t>
      </w:r>
      <w:r>
        <w:rPr>
          <w:rFonts w:ascii="Arial" w:hAnsi="Arial"/>
          <w:b/>
          <w:i w:val="0"/>
          <w:color w:val="000000"/>
          <w:sz w:val="24"/>
        </w:rPr>
        <w:t xml:space="preserve">Gestión de incidentes críticos: </w:t>
      </w:r>
      <w:r>
        <w:rPr>
          <w:rFonts w:ascii="Arial" w:hAnsi="Arial"/>
          <w:b w:val="0"/>
          <w:i w:val="0"/>
          <w:color w:val="000000"/>
          <w:sz w:val="24"/>
        </w:rPr>
        <w:t xml:space="preserve">ante una caída masiva de servidores o una brecha de seguridad, para coordinar la respuesta técnica e informar adecuadamente a los clientes.</w:t>
      </w:r>
      <w:r/>
    </w:p>
    <w:p>
      <w:pPr>
        <w:pStyle w:val="920"/>
        <w:spacing/>
        <w:ind w:firstLine="0"/>
        <w:jc w:val="center"/>
        <w:rPr/>
      </w:pPr>
      <w:r/>
      <w:bookmarkStart w:id="19" w:name="_Toc19"/>
      <w:r>
        <w:rPr>
          <w:rFonts w:ascii="Arial" w:hAnsi="Arial"/>
          <w:b/>
          <w:color w:val="000000"/>
          <w:sz w:val="28"/>
        </w:rPr>
        <w:t xml:space="preserve">BIBLIOGRAFÍA</w:t>
      </w:r>
      <w:bookmarkEnd w:id="19"/>
      <w:r/>
      <w:r/>
    </w:p>
    <w:p>
      <w:pPr>
        <w:spacing w:after="120" w:before="0" w:line="360" w:lineRule="auto"/>
        <w:ind w:hanging="709" w:left="709"/>
        <w:rPr/>
      </w:pPr>
      <w:r>
        <w:rPr>
          <w:rFonts w:ascii="Arial" w:hAnsi="Arial"/>
          <w:color w:val="000000"/>
          <w:sz w:val="24"/>
        </w:rPr>
        <w:t xml:space="preserve">David, F. R., &amp; David, F. R. (2017). Strategic Management: A Competitive Advantage Approach, Concepts and Cases (16.ª ed.). Pearson Education.</w:t>
      </w:r>
      <w:r/>
    </w:p>
    <w:p>
      <w:pPr>
        <w:spacing w:after="120" w:before="0" w:line="360" w:lineRule="auto"/>
        <w:ind w:hanging="709" w:left="709"/>
        <w:rPr/>
      </w:pPr>
      <w:r>
        <w:rPr>
          <w:rFonts w:ascii="Arial" w:hAnsi="Arial"/>
          <w:color w:val="000000"/>
          <w:sz w:val="24"/>
        </w:rPr>
        <w:t xml:space="preserve">Henderson, B. D. (1970). The Product Portfolio. Boston Consulting Group Perspectives, No. 66.</w:t>
      </w:r>
      <w:r/>
    </w:p>
    <w:p>
      <w:pPr>
        <w:spacing w:after="120" w:before="0" w:line="360" w:lineRule="auto"/>
        <w:ind w:hanging="709" w:left="709"/>
        <w:rPr/>
      </w:pPr>
      <w:r>
        <w:rPr>
          <w:rFonts w:ascii="Arial" w:hAnsi="Arial"/>
          <w:color w:val="000000"/>
          <w:sz w:val="24"/>
        </w:rPr>
        <w:t xml:space="preserve">Kaplan, R. S., &amp; Norton, D. P. (1996). The Balanced Scorecard: Translating Strategy into Action. Harvard Business School Press.</w:t>
      </w:r>
      <w:r/>
    </w:p>
    <w:p>
      <w:pPr>
        <w:spacing w:after="120" w:before="0" w:line="360" w:lineRule="auto"/>
        <w:ind w:hanging="709" w:left="709"/>
        <w:rPr/>
      </w:pPr>
      <w:r>
        <w:rPr>
          <w:rFonts w:ascii="Arial" w:hAnsi="Arial"/>
          <w:color w:val="000000"/>
          <w:sz w:val="24"/>
        </w:rPr>
        <w:t xml:space="preserve">Kotler, P., &amp; Keller, K. L. (2016). Marketing Management (15.ª ed.). Pearson Education.</w:t>
      </w:r>
      <w:r/>
    </w:p>
    <w:p>
      <w:pPr>
        <w:spacing w:after="120" w:before="0" w:line="360" w:lineRule="auto"/>
        <w:ind w:hanging="709" w:left="709"/>
        <w:rPr/>
      </w:pPr>
      <w:r>
        <w:rPr>
          <w:rFonts w:ascii="Arial" w:hAnsi="Arial"/>
          <w:color w:val="000000"/>
          <w:sz w:val="24"/>
        </w:rPr>
        <w:t xml:space="preserve">Pressman, R. S., &amp; Maxim, B. R. (2020). Software Engineering: A Practitioner's Approach (9.ª ed.). McGraw-Hill Education.</w:t>
      </w:r>
      <w:r/>
    </w:p>
    <w:p>
      <w:pPr>
        <w:spacing w:after="120" w:before="0" w:line="360" w:lineRule="auto"/>
        <w:ind w:hanging="709" w:left="709"/>
        <w:rPr/>
      </w:pPr>
      <w:r>
        <w:rPr>
          <w:rFonts w:ascii="Arial" w:hAnsi="Arial"/>
          <w:color w:val="000000"/>
          <w:sz w:val="24"/>
        </w:rPr>
        <w:t xml:space="preserve">Robbins, S. P., &amp; Judge, T. A. (2018). Organizational Behavior (18.ª ed.). Pearson Education.</w:t>
      </w:r>
      <w:r/>
    </w:p>
    <w:sectPr>
      <w:headerReference w:type="default" r:id="rId11"/>
      <w:headerReference w:type="first" r:id="rId12"/>
      <w:footnotePr/>
      <w:endnotePr/>
      <w:type w:val="nextPage"/>
      <w:pgSz w:h="15840" w:orient="portrait" w:w="12240"/>
      <w:pgMar w:top="1440" w:right="1440" w:bottom="1440" w:left="1701" w:header="720" w:footer="720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Courier">
    <w:panose1 w:val="020005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6"/>
      <w:spacing/>
      <w:ind w:firstLine="0"/>
      <w:jc w:val="right"/>
      <w:rPr/>
    </w:pPr>
    <w:r>
      <w:rPr>
        <w:rFonts w:ascii="Arial" w:hAnsi="Arial"/>
        <w:sz w:val="20"/>
      </w:rPr>
      <w:fldChar w:fldCharType="begin"/>
    </w:r>
    <w:r>
      <w:instrText xml:space="preserve">PAGE</w:instrText>
    </w:r>
    <w:r>
      <w:fldChar w:fldCharType="separate"/>
    </w:r>
    <w:r>
      <w:fldChar w:fldCharType="end"/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6"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6"/>
      <w:spacing/>
      <w:ind w:firstLine="0"/>
      <w:jc w:val="right"/>
      <w:rPr/>
    </w:pPr>
    <w:r>
      <w:rPr>
        <w:rFonts w:ascii="Arial" w:hAnsi="Arial"/>
        <w:sz w:val="20"/>
      </w:rPr>
      <w:fldChar w:fldCharType="begin"/>
    </w:r>
    <w:r>
      <w:instrText xml:space="preserve">PAGE</w:instrText>
    </w:r>
    <w:r>
      <w:fldChar w:fldCharType="separate"/>
    </w:r>
    <w:r>
      <w:fldChar w:fldCharType="end"/>
    </w:r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6"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5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5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1">
    <w:name w:val="Table Grid Light"/>
    <w:basedOn w:val="9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1"/>
    <w:basedOn w:val="9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2"/>
    <w:basedOn w:val="9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1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2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3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5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6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6">
    <w:name w:val="footnote text"/>
    <w:basedOn w:val="915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Footnote Text Char"/>
    <w:basedOn w:val="929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foot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paragraph" w:styleId="899">
    <w:name w:val="endnote text"/>
    <w:basedOn w:val="915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Endnote Text Char"/>
    <w:basedOn w:val="929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end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character" w:styleId="902">
    <w:name w:val="Hyperlink"/>
    <w:basedOn w:val="9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3">
    <w:name w:val="FollowedHyperlink"/>
    <w:basedOn w:val="9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4">
    <w:name w:val="toc 1"/>
    <w:basedOn w:val="915"/>
    <w:next w:val="915"/>
    <w:uiPriority w:val="39"/>
    <w:unhideWhenUsed/>
    <w:pPr>
      <w:pBdr/>
      <w:spacing w:after="100"/>
      <w:ind/>
    </w:pPr>
  </w:style>
  <w:style w:type="paragraph" w:styleId="905">
    <w:name w:val="toc 2"/>
    <w:basedOn w:val="915"/>
    <w:next w:val="915"/>
    <w:uiPriority w:val="39"/>
    <w:unhideWhenUsed/>
    <w:pPr>
      <w:pBdr/>
      <w:spacing w:after="100"/>
      <w:ind w:left="220"/>
    </w:pPr>
  </w:style>
  <w:style w:type="paragraph" w:styleId="906">
    <w:name w:val="toc 3"/>
    <w:basedOn w:val="915"/>
    <w:next w:val="915"/>
    <w:uiPriority w:val="39"/>
    <w:unhideWhenUsed/>
    <w:pPr>
      <w:pBdr/>
      <w:spacing w:after="100"/>
      <w:ind w:left="440"/>
    </w:pPr>
  </w:style>
  <w:style w:type="paragraph" w:styleId="907">
    <w:name w:val="toc 4"/>
    <w:basedOn w:val="915"/>
    <w:next w:val="915"/>
    <w:uiPriority w:val="39"/>
    <w:unhideWhenUsed/>
    <w:pPr>
      <w:pBdr/>
      <w:spacing w:after="100"/>
      <w:ind w:left="660"/>
    </w:pPr>
  </w:style>
  <w:style w:type="paragraph" w:styleId="908">
    <w:name w:val="toc 5"/>
    <w:basedOn w:val="915"/>
    <w:next w:val="915"/>
    <w:uiPriority w:val="39"/>
    <w:unhideWhenUsed/>
    <w:pPr>
      <w:pBdr/>
      <w:spacing w:after="100"/>
      <w:ind w:left="880"/>
    </w:pPr>
  </w:style>
  <w:style w:type="paragraph" w:styleId="909">
    <w:name w:val="toc 6"/>
    <w:basedOn w:val="915"/>
    <w:next w:val="915"/>
    <w:uiPriority w:val="39"/>
    <w:unhideWhenUsed/>
    <w:pPr>
      <w:pBdr/>
      <w:spacing w:after="100"/>
      <w:ind w:left="1100"/>
    </w:pPr>
  </w:style>
  <w:style w:type="paragraph" w:styleId="910">
    <w:name w:val="toc 7"/>
    <w:basedOn w:val="915"/>
    <w:next w:val="915"/>
    <w:uiPriority w:val="39"/>
    <w:unhideWhenUsed/>
    <w:pPr>
      <w:pBdr/>
      <w:spacing w:after="100"/>
      <w:ind w:left="1320"/>
    </w:pPr>
  </w:style>
  <w:style w:type="paragraph" w:styleId="911">
    <w:name w:val="toc 8"/>
    <w:basedOn w:val="915"/>
    <w:next w:val="915"/>
    <w:uiPriority w:val="39"/>
    <w:unhideWhenUsed/>
    <w:pPr>
      <w:pBdr/>
      <w:spacing w:after="100"/>
      <w:ind w:left="1540"/>
    </w:pPr>
  </w:style>
  <w:style w:type="paragraph" w:styleId="912">
    <w:name w:val="toc 9"/>
    <w:basedOn w:val="915"/>
    <w:next w:val="915"/>
    <w:uiPriority w:val="39"/>
    <w:unhideWhenUsed/>
    <w:pPr>
      <w:pBdr/>
      <w:spacing w:after="100"/>
      <w:ind w:left="1760"/>
    </w:pPr>
  </w:style>
  <w:style w:type="character" w:styleId="913">
    <w:name w:val="Placeholder Text"/>
    <w:basedOn w:val="929"/>
    <w:uiPriority w:val="99"/>
    <w:semiHidden/>
    <w:pPr>
      <w:pBdr/>
      <w:spacing/>
      <w:ind/>
    </w:pPr>
    <w:rPr>
      <w:color w:val="666666"/>
    </w:rPr>
  </w:style>
  <w:style w:type="paragraph" w:styleId="914">
    <w:name w:val="table of figures"/>
    <w:basedOn w:val="915"/>
    <w:next w:val="915"/>
    <w:uiPriority w:val="99"/>
    <w:unhideWhenUsed/>
    <w:pPr>
      <w:pBdr/>
      <w:spacing w:after="0" w:afterAutospacing="0"/>
      <w:ind/>
    </w:pPr>
  </w:style>
  <w:style w:type="paragraph" w:styleId="915" w:default="1">
    <w:name w:val="Normal"/>
    <w:qFormat/>
    <w:pPr>
      <w:pBdr/>
      <w:spacing w:after="0" w:before="0" w:line="360" w:lineRule="auto"/>
      <w:ind w:firstLine="709"/>
      <w:jc w:val="both"/>
    </w:pPr>
    <w:rPr>
      <w:rFonts w:ascii="Arial" w:hAnsi="Arial"/>
      <w:color w:val="000000"/>
      <w:sz w:val="24"/>
    </w:rPr>
  </w:style>
  <w:style w:type="paragraph" w:styleId="916">
    <w:name w:val="Header"/>
    <w:basedOn w:val="915"/>
    <w:link w:val="91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17" w:customStyle="1">
    <w:name w:val="Header Char"/>
    <w:basedOn w:val="929"/>
    <w:link w:val="916"/>
    <w:uiPriority w:val="99"/>
    <w:pPr>
      <w:pBdr/>
      <w:spacing/>
      <w:ind/>
    </w:pPr>
  </w:style>
  <w:style w:type="paragraph" w:styleId="918">
    <w:name w:val="Footer"/>
    <w:basedOn w:val="915"/>
    <w:link w:val="91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19" w:customStyle="1">
    <w:name w:val="Footer Char"/>
    <w:basedOn w:val="929"/>
    <w:link w:val="918"/>
    <w:uiPriority w:val="99"/>
    <w:pPr>
      <w:pBdr/>
      <w:spacing/>
      <w:ind/>
    </w:pPr>
  </w:style>
  <w:style w:type="paragraph" w:styleId="920">
    <w:name w:val="Heading 1"/>
    <w:basedOn w:val="915"/>
    <w:next w:val="915"/>
    <w:link w:val="933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1">
    <w:name w:val="Heading 2"/>
    <w:basedOn w:val="915"/>
    <w:next w:val="915"/>
    <w:link w:val="934"/>
    <w:uiPriority w:val="9"/>
    <w:unhideWhenUsed/>
    <w:qFormat/>
    <w:pPr>
      <w:keepNext w:val="true"/>
      <w:keepLines w:val="true"/>
      <w:pBdr/>
      <w:spacing w:after="120" w:before="240"/>
      <w:ind w:firstLine="0"/>
      <w:jc w:val="left"/>
      <w:outlineLvl w:val="1"/>
    </w:pPr>
    <w:rPr>
      <w:rFonts w:ascii="Arial" w:hAnsi="Arial" w:asciiTheme="majorHAnsi" w:hAnsiTheme="majorHAnsi" w:eastAsiaTheme="majorEastAsia" w:cstheme="majorBidi"/>
      <w:b/>
      <w:bCs/>
      <w:i w:val="0"/>
      <w:color w:val="000000"/>
      <w:sz w:val="24"/>
      <w:szCs w:val="26"/>
    </w:rPr>
  </w:style>
  <w:style w:type="paragraph" w:styleId="922">
    <w:name w:val="Heading 3"/>
    <w:basedOn w:val="915"/>
    <w:next w:val="915"/>
    <w:link w:val="935"/>
    <w:uiPriority w:val="9"/>
    <w:unhideWhenUsed/>
    <w:qFormat/>
    <w:pPr>
      <w:keepNext w:val="true"/>
      <w:keepLines w:val="true"/>
      <w:pBdr/>
      <w:spacing w:after="120" w:before="240"/>
      <w:ind w:firstLine="709"/>
      <w:jc w:val="left"/>
      <w:outlineLvl w:val="2"/>
    </w:pPr>
    <w:rPr>
      <w:rFonts w:ascii="Arial" w:hAnsi="Arial" w:asciiTheme="majorHAnsi" w:hAnsiTheme="majorHAnsi" w:eastAsiaTheme="majorEastAsia" w:cstheme="majorBidi"/>
      <w:b/>
      <w:bCs/>
      <w:i/>
      <w:color w:val="000000"/>
      <w:sz w:val="24"/>
    </w:rPr>
  </w:style>
  <w:style w:type="paragraph" w:styleId="923">
    <w:name w:val="Heading 4"/>
    <w:basedOn w:val="915"/>
    <w:next w:val="915"/>
    <w:link w:val="9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4">
    <w:name w:val="Heading 5"/>
    <w:basedOn w:val="915"/>
    <w:next w:val="915"/>
    <w:link w:val="9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5">
    <w:name w:val="Heading 6"/>
    <w:basedOn w:val="915"/>
    <w:next w:val="915"/>
    <w:link w:val="9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6">
    <w:name w:val="Heading 7"/>
    <w:basedOn w:val="915"/>
    <w:next w:val="915"/>
    <w:link w:val="966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7">
    <w:name w:val="Heading 8"/>
    <w:basedOn w:val="915"/>
    <w:next w:val="915"/>
    <w:link w:val="967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28">
    <w:name w:val="Heading 9"/>
    <w:basedOn w:val="915"/>
    <w:next w:val="915"/>
    <w:link w:val="968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29" w:default="1">
    <w:name w:val="Default Paragraph Font"/>
    <w:uiPriority w:val="1"/>
    <w:semiHidden/>
    <w:unhideWhenUsed/>
    <w:pPr>
      <w:pBdr/>
      <w:spacing/>
      <w:ind/>
    </w:pPr>
  </w:style>
  <w:style w:type="table" w:styleId="93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1" w:default="1">
    <w:name w:val="No List"/>
    <w:uiPriority w:val="99"/>
    <w:semiHidden/>
    <w:unhideWhenUsed/>
    <w:pPr>
      <w:pBdr/>
      <w:spacing/>
      <w:ind/>
    </w:pPr>
  </w:style>
  <w:style w:type="paragraph" w:styleId="932">
    <w:name w:val="No Spacing"/>
    <w:uiPriority w:val="1"/>
    <w:qFormat/>
    <w:pPr>
      <w:pBdr/>
      <w:spacing w:after="0" w:line="240" w:lineRule="auto"/>
      <w:ind/>
    </w:pPr>
  </w:style>
  <w:style w:type="character" w:styleId="933" w:customStyle="1">
    <w:name w:val="Heading 1 Char"/>
    <w:basedOn w:val="929"/>
    <w:link w:val="92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34" w:customStyle="1">
    <w:name w:val="Heading 2 Char"/>
    <w:basedOn w:val="929"/>
    <w:link w:val="92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35" w:customStyle="1">
    <w:name w:val="Heading 3 Char"/>
    <w:basedOn w:val="929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36">
    <w:name w:val="Title"/>
    <w:basedOn w:val="915"/>
    <w:next w:val="915"/>
    <w:link w:val="937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37" w:customStyle="1">
    <w:name w:val="Title Char"/>
    <w:basedOn w:val="929"/>
    <w:link w:val="936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38">
    <w:name w:val="Subtitle"/>
    <w:basedOn w:val="915"/>
    <w:next w:val="915"/>
    <w:link w:val="939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39" w:customStyle="1">
    <w:name w:val="Subtitle Char"/>
    <w:basedOn w:val="929"/>
    <w:link w:val="938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0">
    <w:name w:val="List Paragraph"/>
    <w:basedOn w:val="915"/>
    <w:uiPriority w:val="34"/>
    <w:qFormat/>
    <w:pPr>
      <w:pBdr/>
      <w:spacing/>
      <w:ind w:left="720"/>
      <w:contextualSpacing w:val="true"/>
    </w:pPr>
  </w:style>
  <w:style w:type="paragraph" w:styleId="941">
    <w:name w:val="Body Text"/>
    <w:basedOn w:val="915"/>
    <w:link w:val="942"/>
    <w:uiPriority w:val="99"/>
    <w:unhideWhenUsed/>
    <w:pPr>
      <w:pBdr/>
      <w:spacing w:after="120"/>
      <w:ind/>
    </w:pPr>
  </w:style>
  <w:style w:type="character" w:styleId="942" w:customStyle="1">
    <w:name w:val="Body Text Char"/>
    <w:basedOn w:val="929"/>
    <w:link w:val="941"/>
    <w:uiPriority w:val="99"/>
    <w:pPr>
      <w:pBdr/>
      <w:spacing/>
      <w:ind/>
    </w:pPr>
  </w:style>
  <w:style w:type="paragraph" w:styleId="943">
    <w:name w:val="Body Text 2"/>
    <w:basedOn w:val="915"/>
    <w:link w:val="944"/>
    <w:uiPriority w:val="99"/>
    <w:unhideWhenUsed/>
    <w:pPr>
      <w:pBdr/>
      <w:spacing w:after="120" w:line="480" w:lineRule="auto"/>
      <w:ind/>
    </w:pPr>
  </w:style>
  <w:style w:type="character" w:styleId="944" w:customStyle="1">
    <w:name w:val="Body Text 2 Char"/>
    <w:basedOn w:val="929"/>
    <w:link w:val="943"/>
    <w:uiPriority w:val="99"/>
    <w:pPr>
      <w:pBdr/>
      <w:spacing/>
      <w:ind/>
    </w:pPr>
  </w:style>
  <w:style w:type="paragraph" w:styleId="945">
    <w:name w:val="Body Text 3"/>
    <w:basedOn w:val="915"/>
    <w:link w:val="946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46" w:customStyle="1">
    <w:name w:val="Body Text 3 Char"/>
    <w:basedOn w:val="929"/>
    <w:link w:val="945"/>
    <w:uiPriority w:val="99"/>
    <w:pPr>
      <w:pBdr/>
      <w:spacing/>
      <w:ind/>
    </w:pPr>
    <w:rPr>
      <w:sz w:val="16"/>
      <w:szCs w:val="16"/>
    </w:rPr>
  </w:style>
  <w:style w:type="paragraph" w:styleId="947">
    <w:name w:val="List"/>
    <w:basedOn w:val="915"/>
    <w:uiPriority w:val="99"/>
    <w:unhideWhenUsed/>
    <w:pPr>
      <w:pBdr/>
      <w:spacing/>
      <w:ind w:hanging="360" w:left="360"/>
      <w:contextualSpacing w:val="true"/>
    </w:pPr>
  </w:style>
  <w:style w:type="paragraph" w:styleId="948">
    <w:name w:val="List 2"/>
    <w:basedOn w:val="915"/>
    <w:uiPriority w:val="99"/>
    <w:unhideWhenUsed/>
    <w:pPr>
      <w:pBdr/>
      <w:spacing/>
      <w:ind w:hanging="360" w:left="720"/>
      <w:contextualSpacing w:val="true"/>
    </w:pPr>
  </w:style>
  <w:style w:type="paragraph" w:styleId="949">
    <w:name w:val="List 3"/>
    <w:basedOn w:val="915"/>
    <w:uiPriority w:val="99"/>
    <w:unhideWhenUsed/>
    <w:pPr>
      <w:pBdr/>
      <w:spacing/>
      <w:ind w:hanging="360" w:left="1080"/>
      <w:contextualSpacing w:val="true"/>
    </w:pPr>
  </w:style>
  <w:style w:type="paragraph" w:styleId="950">
    <w:name w:val="List Bullet"/>
    <w:basedOn w:val="915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1">
    <w:name w:val="List Bullet 2"/>
    <w:basedOn w:val="915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2">
    <w:name w:val="List Bullet 3"/>
    <w:basedOn w:val="915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3">
    <w:name w:val="List Number"/>
    <w:basedOn w:val="915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54">
    <w:name w:val="List Number 2"/>
    <w:basedOn w:val="915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55">
    <w:name w:val="List Number 3"/>
    <w:basedOn w:val="915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56">
    <w:name w:val="List Continue"/>
    <w:basedOn w:val="915"/>
    <w:uiPriority w:val="99"/>
    <w:unhideWhenUsed/>
    <w:pPr>
      <w:pBdr/>
      <w:spacing w:after="120"/>
      <w:ind w:left="360"/>
      <w:contextualSpacing w:val="true"/>
    </w:pPr>
  </w:style>
  <w:style w:type="paragraph" w:styleId="957">
    <w:name w:val="List Continue 2"/>
    <w:basedOn w:val="915"/>
    <w:uiPriority w:val="99"/>
    <w:unhideWhenUsed/>
    <w:pPr>
      <w:pBdr/>
      <w:spacing w:after="120"/>
      <w:ind w:left="720"/>
      <w:contextualSpacing w:val="true"/>
    </w:pPr>
  </w:style>
  <w:style w:type="paragraph" w:styleId="958">
    <w:name w:val="List Continue 3"/>
    <w:basedOn w:val="915"/>
    <w:uiPriority w:val="99"/>
    <w:unhideWhenUsed/>
    <w:pPr>
      <w:pBdr/>
      <w:spacing w:after="120"/>
      <w:ind w:left="1080"/>
      <w:contextualSpacing w:val="true"/>
    </w:pPr>
  </w:style>
  <w:style w:type="paragraph" w:styleId="959">
    <w:name w:val="macro"/>
    <w:link w:val="960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0" w:customStyle="1">
    <w:name w:val="Macro Text Char"/>
    <w:basedOn w:val="929"/>
    <w:link w:val="959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1">
    <w:name w:val="Quote"/>
    <w:basedOn w:val="915"/>
    <w:next w:val="915"/>
    <w:link w:val="962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2" w:customStyle="1">
    <w:name w:val="Quote Char"/>
    <w:basedOn w:val="929"/>
    <w:link w:val="961"/>
    <w:uiPriority w:val="29"/>
    <w:pPr>
      <w:pBdr/>
      <w:spacing/>
      <w:ind/>
    </w:pPr>
    <w:rPr>
      <w:i/>
      <w:iCs/>
      <w:color w:val="000000" w:themeColor="text1"/>
    </w:rPr>
  </w:style>
  <w:style w:type="character" w:styleId="963" w:customStyle="1">
    <w:name w:val="Heading 4 Char"/>
    <w:basedOn w:val="929"/>
    <w:link w:val="92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64" w:customStyle="1">
    <w:name w:val="Heading 5 Char"/>
    <w:basedOn w:val="929"/>
    <w:link w:val="92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65" w:customStyle="1">
    <w:name w:val="Heading 6 Char"/>
    <w:basedOn w:val="929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66" w:customStyle="1">
    <w:name w:val="Heading 7 Char"/>
    <w:basedOn w:val="929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67" w:customStyle="1">
    <w:name w:val="Heading 8 Char"/>
    <w:basedOn w:val="929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68" w:customStyle="1">
    <w:name w:val="Heading 9 Char"/>
    <w:basedOn w:val="929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69">
    <w:name w:val="Caption"/>
    <w:basedOn w:val="915"/>
    <w:next w:val="915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0">
    <w:name w:val="Strong"/>
    <w:basedOn w:val="929"/>
    <w:uiPriority w:val="22"/>
    <w:qFormat/>
    <w:pPr>
      <w:pBdr/>
      <w:spacing/>
      <w:ind/>
    </w:pPr>
    <w:rPr>
      <w:b/>
      <w:bCs/>
    </w:rPr>
  </w:style>
  <w:style w:type="character" w:styleId="971">
    <w:name w:val="Emphasis"/>
    <w:basedOn w:val="929"/>
    <w:uiPriority w:val="20"/>
    <w:qFormat/>
    <w:pPr>
      <w:pBdr/>
      <w:spacing/>
      <w:ind/>
    </w:pPr>
    <w:rPr>
      <w:i/>
      <w:iCs/>
    </w:rPr>
  </w:style>
  <w:style w:type="paragraph" w:styleId="972">
    <w:name w:val="Intense Quote"/>
    <w:basedOn w:val="915"/>
    <w:next w:val="915"/>
    <w:link w:val="973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3" w:customStyle="1">
    <w:name w:val="Intense Quote Char"/>
    <w:basedOn w:val="929"/>
    <w:link w:val="972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74">
    <w:name w:val="Subtle Emphasis"/>
    <w:basedOn w:val="929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75">
    <w:name w:val="Intense Emphasis"/>
    <w:basedOn w:val="929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76">
    <w:name w:val="Subtle Reference"/>
    <w:basedOn w:val="929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77">
    <w:name w:val="Intense Reference"/>
    <w:basedOn w:val="929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78">
    <w:name w:val="Book Title"/>
    <w:basedOn w:val="929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79">
    <w:name w:val="TOC Heading"/>
    <w:basedOn w:val="920"/>
    <w:next w:val="915"/>
    <w:uiPriority w:val="39"/>
    <w:semiHidden/>
    <w:unhideWhenUsed/>
    <w:qFormat/>
    <w:pPr>
      <w:pBdr/>
      <w:spacing/>
      <w:ind/>
      <w:outlineLvl w:val="9"/>
    </w:pPr>
  </w:style>
  <w:style w:type="table" w:styleId="980">
    <w:name w:val="Table Grid"/>
    <w:basedOn w:val="9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Shading"/>
    <w:basedOn w:val="930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Shading Accent 1"/>
    <w:basedOn w:val="930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Shading Accent 2"/>
    <w:basedOn w:val="930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Shading Accent 3"/>
    <w:basedOn w:val="930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Shading Accent 4"/>
    <w:basedOn w:val="930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Shading Accent 5"/>
    <w:basedOn w:val="930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 Accent 6"/>
    <w:basedOn w:val="930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List"/>
    <w:basedOn w:val="93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List Accent 1"/>
    <w:basedOn w:val="93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List Accent 2"/>
    <w:basedOn w:val="93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List Accent 3"/>
    <w:basedOn w:val="93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List Accent 4"/>
    <w:basedOn w:val="93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List Accent 5"/>
    <w:basedOn w:val="93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 Accent 6"/>
    <w:basedOn w:val="93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Grid"/>
    <w:basedOn w:val="93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Grid Accent 1"/>
    <w:basedOn w:val="93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Grid Accent 2"/>
    <w:basedOn w:val="93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Grid Accent 3"/>
    <w:basedOn w:val="93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Grid Accent 4"/>
    <w:basedOn w:val="93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Grid Accent 5"/>
    <w:basedOn w:val="93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 Accent 6"/>
    <w:basedOn w:val="93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1"/>
    <w:basedOn w:val="93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1 Accent 1"/>
    <w:basedOn w:val="93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1 Accent 2"/>
    <w:basedOn w:val="93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1 Accent 3"/>
    <w:basedOn w:val="93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1 Accent 4"/>
    <w:basedOn w:val="93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1 Accent 5"/>
    <w:basedOn w:val="93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 Accent 6"/>
    <w:basedOn w:val="93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2"/>
    <w:basedOn w:val="93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2 Accent 1"/>
    <w:basedOn w:val="93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2 Accent 2"/>
    <w:basedOn w:val="93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2 Accent 3"/>
    <w:basedOn w:val="93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2 Accent 4"/>
    <w:basedOn w:val="93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2 Accent 5"/>
    <w:basedOn w:val="93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 Accent 6"/>
    <w:basedOn w:val="93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1"/>
    <w:basedOn w:val="93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1 Accent 1"/>
    <w:basedOn w:val="93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1 Accent 2"/>
    <w:basedOn w:val="93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1 Accent 3"/>
    <w:basedOn w:val="93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1 Accent 4"/>
    <w:basedOn w:val="93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1 Accent 5"/>
    <w:basedOn w:val="93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 Accent 6"/>
    <w:basedOn w:val="93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2"/>
    <w:basedOn w:val="93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2 Accent 1"/>
    <w:basedOn w:val="93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2 Accent 2"/>
    <w:basedOn w:val="93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2 Accent 3"/>
    <w:basedOn w:val="93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2 Accent 4"/>
    <w:basedOn w:val="93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2 Accent 5"/>
    <w:basedOn w:val="93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 Accent 6"/>
    <w:basedOn w:val="93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1"/>
    <w:basedOn w:val="93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1 Accent 1"/>
    <w:basedOn w:val="93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1 Accent 2"/>
    <w:basedOn w:val="93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1 Accent 3"/>
    <w:basedOn w:val="93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1 Accent 4"/>
    <w:basedOn w:val="93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1 Accent 5"/>
    <w:basedOn w:val="93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 Accent 6"/>
    <w:basedOn w:val="93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2"/>
    <w:basedOn w:val="93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2 Accent 1"/>
    <w:basedOn w:val="93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2 Accent 2"/>
    <w:basedOn w:val="93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2 Accent 3"/>
    <w:basedOn w:val="93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2 Accent 4"/>
    <w:basedOn w:val="93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2 Accent 5"/>
    <w:basedOn w:val="93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 Accent 6"/>
    <w:basedOn w:val="93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3"/>
    <w:basedOn w:val="93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3 Accent 1"/>
    <w:basedOn w:val="93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3 Accent 2"/>
    <w:basedOn w:val="93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3 Accent 3"/>
    <w:basedOn w:val="93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3 Accent 4"/>
    <w:basedOn w:val="93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3 Accent 5"/>
    <w:basedOn w:val="93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 Accent 6"/>
    <w:basedOn w:val="93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Dark List"/>
    <w:basedOn w:val="93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Dark List Accent 1"/>
    <w:basedOn w:val="93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Dark List Accent 2"/>
    <w:basedOn w:val="93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Dark List Accent 3"/>
    <w:basedOn w:val="93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Dark List Accent 4"/>
    <w:basedOn w:val="93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Dark List Accent 5"/>
    <w:basedOn w:val="93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 Accent 6"/>
    <w:basedOn w:val="93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Shading"/>
    <w:basedOn w:val="93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Shading Accent 1"/>
    <w:basedOn w:val="93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Shading Accent 2"/>
    <w:basedOn w:val="93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Shading Accent 3"/>
    <w:basedOn w:val="93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Shading Accent 4"/>
    <w:basedOn w:val="93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Shading Accent 5"/>
    <w:basedOn w:val="93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 Accent 6"/>
    <w:basedOn w:val="93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List"/>
    <w:basedOn w:val="93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List Accent 1"/>
    <w:basedOn w:val="93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List Accent 2"/>
    <w:basedOn w:val="93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List Accent 3"/>
    <w:basedOn w:val="93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List Accent 4"/>
    <w:basedOn w:val="93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List Accent 5"/>
    <w:basedOn w:val="93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 Accent 6"/>
    <w:basedOn w:val="93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Grid"/>
    <w:basedOn w:val="93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Grid Accent 1"/>
    <w:basedOn w:val="93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Grid Accent 2"/>
    <w:basedOn w:val="93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Grid Accent 3"/>
    <w:basedOn w:val="93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Grid Accent 4"/>
    <w:basedOn w:val="93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Grid Accent 5"/>
    <w:basedOn w:val="93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 Accent 6"/>
    <w:basedOn w:val="93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customXml" Target="../customXml/item1.xml" /><Relationship Id="rId14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2026-10-19T20:05:58Z</dcterms:modified>
  <cp:category/>
</cp:coreProperties>
</file>