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D4A13" w14:textId="77777777" w:rsidR="00806C2D" w:rsidRDefault="00806C2D" w:rsidP="00D51068"/>
    <w:p w14:paraId="3888CCA3" w14:textId="416C06CA" w:rsidR="00D51068" w:rsidRDefault="00D51068" w:rsidP="00D51068">
      <w:r>
        <w:t xml:space="preserve">Método de </w:t>
      </w:r>
      <w:r>
        <w:t>Porcientos integrados</w:t>
      </w:r>
      <w:r>
        <w:t>.</w:t>
      </w:r>
    </w:p>
    <w:p w14:paraId="63E3C3B1" w14:textId="17CAC455" w:rsidR="000E3073" w:rsidRDefault="00DE7C02" w:rsidP="00B933DA">
      <w:pPr>
        <w:jc w:val="both"/>
      </w:pPr>
      <w:r>
        <w:t xml:space="preserve">Este método consiste en expresar por medio de </w:t>
      </w:r>
      <w:r w:rsidR="000E3073">
        <w:t>porcentajes, cada</w:t>
      </w:r>
      <w:r>
        <w:t xml:space="preserve"> uno de los elementos o cuentas que integran el estado financiero</w:t>
      </w:r>
      <w:r w:rsidR="000E3073">
        <w:t>, para saber cómo influye</w:t>
      </w:r>
      <w:r w:rsidR="004A1161">
        <w:t xml:space="preserve"> este,</w:t>
      </w:r>
      <w:r w:rsidR="000E3073">
        <w:t xml:space="preserve"> en la situación de la empresa. </w:t>
      </w:r>
    </w:p>
    <w:p w14:paraId="40C6D091" w14:textId="1D8B7EC0" w:rsidR="00D51068" w:rsidRDefault="000E3073" w:rsidP="00B933DA">
      <w:pPr>
        <w:jc w:val="both"/>
      </w:pPr>
      <w:r>
        <w:t>P</w:t>
      </w:r>
      <w:r w:rsidR="002A2F84">
        <w:t>ar</w:t>
      </w:r>
      <w:r>
        <w:t xml:space="preserve">a calcularlo se parte </w:t>
      </w:r>
      <w:r w:rsidR="004A1161">
        <w:t>de</w:t>
      </w:r>
      <w:r>
        <w:t xml:space="preserve"> igualar al 100% el dato mas relevante del Estado Financiero que se está analizando, y a partir de éste, se hace una regla de 3, para prorratear los porcentajes. En el caso de Estado de Resultados</w:t>
      </w:r>
      <w:r w:rsidR="004A1161">
        <w:t>, el dato al que se le da el valor del 100% son las Ventas netas o Ingresos netos; para el Balance General, a las sumas iguales (activo total y la suma de pasivo y capital), son los que se igualan a 100%.</w:t>
      </w:r>
    </w:p>
    <w:p w14:paraId="432A6EAB" w14:textId="0B8A44A0" w:rsidR="004A1161" w:rsidRDefault="004A1161" w:rsidP="00D51068">
      <w:r>
        <w:t>Por ejemplo: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156"/>
        <w:gridCol w:w="1418"/>
      </w:tblGrid>
      <w:tr w:rsidR="004A1161" w14:paraId="19F8A0CB" w14:textId="77777777" w:rsidTr="00172BFE">
        <w:trPr>
          <w:jc w:val="center"/>
        </w:trPr>
        <w:tc>
          <w:tcPr>
            <w:tcW w:w="6516" w:type="dxa"/>
            <w:gridSpan w:val="3"/>
          </w:tcPr>
          <w:p w14:paraId="7826D26F" w14:textId="77777777" w:rsidR="004A1161" w:rsidRDefault="004A1161" w:rsidP="004A1161">
            <w:pPr>
              <w:jc w:val="center"/>
            </w:pPr>
            <w:r>
              <w:t>Cia XYZ S. A.</w:t>
            </w:r>
          </w:p>
          <w:p w14:paraId="256E77DA" w14:textId="47FCCD72" w:rsidR="004A1161" w:rsidRDefault="004A1161" w:rsidP="004A1161">
            <w:pPr>
              <w:jc w:val="center"/>
            </w:pPr>
            <w:r>
              <w:t>Estado de Resultados</w:t>
            </w:r>
          </w:p>
        </w:tc>
      </w:tr>
      <w:tr w:rsidR="004A1161" w14:paraId="7B4DE42C" w14:textId="77777777" w:rsidTr="00806C2D">
        <w:trPr>
          <w:jc w:val="center"/>
        </w:trPr>
        <w:tc>
          <w:tcPr>
            <w:tcW w:w="2942" w:type="dxa"/>
            <w:shd w:val="clear" w:color="auto" w:fill="FFD966" w:themeFill="accent4" w:themeFillTint="99"/>
          </w:tcPr>
          <w:p w14:paraId="723D40DE" w14:textId="00A07EEC" w:rsidR="004A1161" w:rsidRDefault="004A1161" w:rsidP="00D51068">
            <w:r>
              <w:t>Ventas</w:t>
            </w:r>
          </w:p>
        </w:tc>
        <w:tc>
          <w:tcPr>
            <w:tcW w:w="2156" w:type="dxa"/>
            <w:shd w:val="clear" w:color="auto" w:fill="FFD966" w:themeFill="accent4" w:themeFillTint="99"/>
          </w:tcPr>
          <w:p w14:paraId="32EE7C89" w14:textId="4898DC42" w:rsidR="004A1161" w:rsidRDefault="004A1161" w:rsidP="004A1161">
            <w:pPr>
              <w:jc w:val="right"/>
            </w:pPr>
            <w:r>
              <w:t>$500 000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022C5F3A" w14:textId="6B08C0E5" w:rsidR="004A1161" w:rsidRDefault="00172BFE" w:rsidP="00172BFE">
            <w:pPr>
              <w:jc w:val="center"/>
            </w:pPr>
            <w:r>
              <w:t>100%</w:t>
            </w:r>
          </w:p>
        </w:tc>
      </w:tr>
      <w:tr w:rsidR="004A1161" w14:paraId="0EC5ACB3" w14:textId="77777777" w:rsidTr="00172BFE">
        <w:trPr>
          <w:jc w:val="center"/>
        </w:trPr>
        <w:tc>
          <w:tcPr>
            <w:tcW w:w="2942" w:type="dxa"/>
          </w:tcPr>
          <w:p w14:paraId="76375D5A" w14:textId="4DCC14C2" w:rsidR="004A1161" w:rsidRDefault="00172BFE" w:rsidP="00D51068">
            <w:r>
              <w:t>Costo de ventas</w:t>
            </w:r>
          </w:p>
        </w:tc>
        <w:tc>
          <w:tcPr>
            <w:tcW w:w="2156" w:type="dxa"/>
          </w:tcPr>
          <w:p w14:paraId="45052FB8" w14:textId="5F18D979" w:rsidR="004A1161" w:rsidRDefault="00172BFE" w:rsidP="00172BFE">
            <w:pPr>
              <w:jc w:val="right"/>
            </w:pPr>
            <w:r>
              <w:t>150 000</w:t>
            </w:r>
          </w:p>
        </w:tc>
        <w:tc>
          <w:tcPr>
            <w:tcW w:w="1418" w:type="dxa"/>
          </w:tcPr>
          <w:p w14:paraId="73048094" w14:textId="56183E2F" w:rsidR="004A1161" w:rsidRDefault="00172BFE" w:rsidP="00172BFE">
            <w:pPr>
              <w:jc w:val="center"/>
            </w:pPr>
            <w:r>
              <w:t>30%</w:t>
            </w:r>
          </w:p>
        </w:tc>
      </w:tr>
      <w:tr w:rsidR="004A1161" w14:paraId="49A0714D" w14:textId="77777777" w:rsidTr="00172BFE">
        <w:trPr>
          <w:jc w:val="center"/>
        </w:trPr>
        <w:tc>
          <w:tcPr>
            <w:tcW w:w="2942" w:type="dxa"/>
          </w:tcPr>
          <w:p w14:paraId="507EF71D" w14:textId="26371E9C" w:rsidR="004A1161" w:rsidRDefault="00172BFE" w:rsidP="00D51068">
            <w:r>
              <w:t>Utilidad Bruta</w:t>
            </w:r>
          </w:p>
        </w:tc>
        <w:tc>
          <w:tcPr>
            <w:tcW w:w="2156" w:type="dxa"/>
          </w:tcPr>
          <w:p w14:paraId="31DAF432" w14:textId="08D0C64E" w:rsidR="004A1161" w:rsidRDefault="00172BFE" w:rsidP="00172BFE">
            <w:pPr>
              <w:jc w:val="right"/>
            </w:pPr>
            <w:r>
              <w:t>350 000</w:t>
            </w:r>
          </w:p>
        </w:tc>
        <w:tc>
          <w:tcPr>
            <w:tcW w:w="1418" w:type="dxa"/>
          </w:tcPr>
          <w:p w14:paraId="37D6E1C7" w14:textId="329D2AAE" w:rsidR="004A1161" w:rsidRDefault="00172BFE" w:rsidP="00172BFE">
            <w:pPr>
              <w:jc w:val="center"/>
            </w:pPr>
            <w:r>
              <w:t>70%</w:t>
            </w:r>
          </w:p>
        </w:tc>
      </w:tr>
      <w:tr w:rsidR="00172BFE" w14:paraId="4A6DFB3F" w14:textId="77777777" w:rsidTr="00172BFE">
        <w:trPr>
          <w:jc w:val="center"/>
        </w:trPr>
        <w:tc>
          <w:tcPr>
            <w:tcW w:w="2942" w:type="dxa"/>
          </w:tcPr>
          <w:p w14:paraId="769FECD8" w14:textId="51171E8C" w:rsidR="00172BFE" w:rsidRDefault="00172BFE" w:rsidP="00D51068">
            <w:r>
              <w:t>Gastos de operación</w:t>
            </w:r>
          </w:p>
        </w:tc>
        <w:tc>
          <w:tcPr>
            <w:tcW w:w="2156" w:type="dxa"/>
          </w:tcPr>
          <w:p w14:paraId="704DFFC5" w14:textId="5A653645" w:rsidR="00172BFE" w:rsidRDefault="00172BFE" w:rsidP="00172BFE">
            <w:pPr>
              <w:jc w:val="right"/>
            </w:pPr>
            <w:r>
              <w:t>200 000</w:t>
            </w:r>
          </w:p>
        </w:tc>
        <w:tc>
          <w:tcPr>
            <w:tcW w:w="1418" w:type="dxa"/>
          </w:tcPr>
          <w:p w14:paraId="7B5A1895" w14:textId="5E6CBEA6" w:rsidR="00172BFE" w:rsidRDefault="00172BFE" w:rsidP="00172BFE">
            <w:pPr>
              <w:jc w:val="center"/>
            </w:pPr>
            <w:r>
              <w:t>40%</w:t>
            </w:r>
          </w:p>
        </w:tc>
      </w:tr>
      <w:tr w:rsidR="00172BFE" w14:paraId="7409AC13" w14:textId="77777777" w:rsidTr="00172BFE">
        <w:trPr>
          <w:jc w:val="center"/>
        </w:trPr>
        <w:tc>
          <w:tcPr>
            <w:tcW w:w="2942" w:type="dxa"/>
          </w:tcPr>
          <w:p w14:paraId="715BC99C" w14:textId="172A8F37" w:rsidR="00172BFE" w:rsidRDefault="00172BFE" w:rsidP="00D51068">
            <w:r>
              <w:t>Utilidad neta</w:t>
            </w:r>
          </w:p>
        </w:tc>
        <w:tc>
          <w:tcPr>
            <w:tcW w:w="2156" w:type="dxa"/>
          </w:tcPr>
          <w:p w14:paraId="695265A6" w14:textId="51B899B7" w:rsidR="00172BFE" w:rsidRDefault="00172BFE" w:rsidP="00172BFE">
            <w:pPr>
              <w:jc w:val="right"/>
            </w:pPr>
            <w:r>
              <w:t>150 000</w:t>
            </w:r>
          </w:p>
        </w:tc>
        <w:tc>
          <w:tcPr>
            <w:tcW w:w="1418" w:type="dxa"/>
          </w:tcPr>
          <w:p w14:paraId="19127470" w14:textId="0BDD23D7" w:rsidR="00172BFE" w:rsidRDefault="00172BFE" w:rsidP="00172BFE">
            <w:pPr>
              <w:jc w:val="center"/>
            </w:pPr>
            <w:r>
              <w:t>30%</w:t>
            </w:r>
          </w:p>
        </w:tc>
      </w:tr>
    </w:tbl>
    <w:p w14:paraId="52775C6E" w14:textId="7747FAC7" w:rsidR="004A1161" w:rsidRDefault="004A1161" w:rsidP="00D51068"/>
    <w:p w14:paraId="1F6C8B66" w14:textId="689FCF2C" w:rsidR="00172BFE" w:rsidRDefault="00172BFE" w:rsidP="00D51068">
      <w:r>
        <w:t>Para hacer el cálculo, el planteamiento sería:</w:t>
      </w:r>
    </w:p>
    <w:p w14:paraId="6E091827" w14:textId="4FF1F6D9" w:rsidR="00172BFE" w:rsidRDefault="00172BFE" w:rsidP="00D51068">
      <w:r>
        <w:tab/>
      </w:r>
      <w:r>
        <w:tab/>
        <w:t xml:space="preserve">Si </w:t>
      </w:r>
      <w:r w:rsidR="00521029">
        <w:t xml:space="preserve">Ventas </w:t>
      </w:r>
      <w:r w:rsidR="00521029">
        <w:tab/>
      </w:r>
      <w:r w:rsidR="00521029">
        <w:tab/>
      </w:r>
      <w:r w:rsidR="00521029">
        <w:tab/>
      </w:r>
      <w:r>
        <w:t xml:space="preserve">500 000 es a 100%, </w:t>
      </w:r>
    </w:p>
    <w:p w14:paraId="422029EA" w14:textId="09A43E62" w:rsidR="00172BFE" w:rsidRDefault="00172BFE" w:rsidP="00172BFE">
      <w:pPr>
        <w:ind w:left="708" w:firstLine="708"/>
      </w:pPr>
      <w:r>
        <w:t xml:space="preserve">entonces costo de ventas </w:t>
      </w:r>
      <w:r w:rsidR="00521029">
        <w:tab/>
        <w:t>150 000 es a X</w:t>
      </w:r>
    </w:p>
    <w:p w14:paraId="650818DB" w14:textId="77777777" w:rsidR="00806C2D" w:rsidRDefault="00806C2D" w:rsidP="00521029"/>
    <w:p w14:paraId="7CF9E28E" w14:textId="6170DA1A" w:rsidR="00521029" w:rsidRDefault="00521029" w:rsidP="00521029">
      <w:r>
        <w:t xml:space="preserve">En el </w:t>
      </w:r>
      <w:r w:rsidR="00806C2D">
        <w:t>Balance, el</w:t>
      </w:r>
      <w:r>
        <w:t xml:space="preserve"> procedimiento es similar.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57"/>
        <w:gridCol w:w="1819"/>
        <w:gridCol w:w="1418"/>
        <w:gridCol w:w="1178"/>
      </w:tblGrid>
      <w:tr w:rsidR="00521029" w14:paraId="42CF4ADA" w14:textId="77777777" w:rsidTr="00025E11">
        <w:tc>
          <w:tcPr>
            <w:tcW w:w="1838" w:type="dxa"/>
          </w:tcPr>
          <w:p w14:paraId="33563811" w14:textId="78EA35C8" w:rsidR="00521029" w:rsidRDefault="00521029" w:rsidP="00521029">
            <w:r>
              <w:t>Activo</w:t>
            </w:r>
          </w:p>
        </w:tc>
        <w:tc>
          <w:tcPr>
            <w:tcW w:w="1418" w:type="dxa"/>
          </w:tcPr>
          <w:p w14:paraId="0DB1A764" w14:textId="77777777" w:rsidR="00521029" w:rsidRDefault="00521029" w:rsidP="00521029"/>
        </w:tc>
        <w:tc>
          <w:tcPr>
            <w:tcW w:w="1157" w:type="dxa"/>
          </w:tcPr>
          <w:p w14:paraId="736F582E" w14:textId="77777777" w:rsidR="00521029" w:rsidRDefault="00521029" w:rsidP="00521029"/>
        </w:tc>
        <w:tc>
          <w:tcPr>
            <w:tcW w:w="1819" w:type="dxa"/>
          </w:tcPr>
          <w:p w14:paraId="1196C70A" w14:textId="7C045749" w:rsidR="00521029" w:rsidRDefault="00521029" w:rsidP="00521029">
            <w:r>
              <w:t>Pasivo</w:t>
            </w:r>
          </w:p>
        </w:tc>
        <w:tc>
          <w:tcPr>
            <w:tcW w:w="1418" w:type="dxa"/>
          </w:tcPr>
          <w:p w14:paraId="605E7484" w14:textId="77777777" w:rsidR="00521029" w:rsidRDefault="00521029" w:rsidP="00521029"/>
        </w:tc>
        <w:tc>
          <w:tcPr>
            <w:tcW w:w="1178" w:type="dxa"/>
          </w:tcPr>
          <w:p w14:paraId="22A8DA66" w14:textId="77777777" w:rsidR="00521029" w:rsidRDefault="00521029" w:rsidP="00521029"/>
        </w:tc>
      </w:tr>
      <w:tr w:rsidR="00521029" w14:paraId="2C08EBFA" w14:textId="77777777" w:rsidTr="00025E11">
        <w:tc>
          <w:tcPr>
            <w:tcW w:w="1838" w:type="dxa"/>
          </w:tcPr>
          <w:p w14:paraId="25777832" w14:textId="2405E15F" w:rsidR="00521029" w:rsidRDefault="00521029" w:rsidP="00521029">
            <w:r>
              <w:t>Circulante</w:t>
            </w:r>
          </w:p>
        </w:tc>
        <w:tc>
          <w:tcPr>
            <w:tcW w:w="1418" w:type="dxa"/>
          </w:tcPr>
          <w:p w14:paraId="734AD853" w14:textId="77777777" w:rsidR="00521029" w:rsidRDefault="00521029" w:rsidP="00521029"/>
        </w:tc>
        <w:tc>
          <w:tcPr>
            <w:tcW w:w="1157" w:type="dxa"/>
          </w:tcPr>
          <w:p w14:paraId="1959D0E8" w14:textId="77777777" w:rsidR="00521029" w:rsidRDefault="00521029" w:rsidP="00521029"/>
        </w:tc>
        <w:tc>
          <w:tcPr>
            <w:tcW w:w="1819" w:type="dxa"/>
          </w:tcPr>
          <w:p w14:paraId="25B0055C" w14:textId="75DC36A5" w:rsidR="00521029" w:rsidRDefault="00521029" w:rsidP="00521029">
            <w:r>
              <w:t>Circulante</w:t>
            </w:r>
          </w:p>
        </w:tc>
        <w:tc>
          <w:tcPr>
            <w:tcW w:w="1418" w:type="dxa"/>
          </w:tcPr>
          <w:p w14:paraId="6CCA7349" w14:textId="77777777" w:rsidR="00521029" w:rsidRDefault="00521029" w:rsidP="00521029"/>
        </w:tc>
        <w:tc>
          <w:tcPr>
            <w:tcW w:w="1178" w:type="dxa"/>
          </w:tcPr>
          <w:p w14:paraId="2DB5A1B2" w14:textId="77777777" w:rsidR="00521029" w:rsidRDefault="00521029" w:rsidP="00521029"/>
        </w:tc>
      </w:tr>
      <w:tr w:rsidR="00521029" w14:paraId="20F553B5" w14:textId="77777777" w:rsidTr="00025E11">
        <w:tc>
          <w:tcPr>
            <w:tcW w:w="1838" w:type="dxa"/>
          </w:tcPr>
          <w:p w14:paraId="6D51A624" w14:textId="463EC1FE" w:rsidR="00521029" w:rsidRDefault="00521029" w:rsidP="00521029">
            <w:r>
              <w:t>Caja</w:t>
            </w:r>
          </w:p>
        </w:tc>
        <w:tc>
          <w:tcPr>
            <w:tcW w:w="1418" w:type="dxa"/>
          </w:tcPr>
          <w:p w14:paraId="705FA87D" w14:textId="3BF139F6" w:rsidR="00521029" w:rsidRDefault="00025E11" w:rsidP="00025E11">
            <w:pPr>
              <w:jc w:val="right"/>
            </w:pPr>
            <w:r>
              <w:t>120 000</w:t>
            </w:r>
          </w:p>
        </w:tc>
        <w:tc>
          <w:tcPr>
            <w:tcW w:w="1157" w:type="dxa"/>
          </w:tcPr>
          <w:p w14:paraId="20CFB587" w14:textId="7FEE1907" w:rsidR="00521029" w:rsidRDefault="00025E11" w:rsidP="00025E11">
            <w:pPr>
              <w:jc w:val="center"/>
            </w:pPr>
            <w:r>
              <w:t>6%</w:t>
            </w:r>
          </w:p>
        </w:tc>
        <w:tc>
          <w:tcPr>
            <w:tcW w:w="1819" w:type="dxa"/>
          </w:tcPr>
          <w:p w14:paraId="5B73C818" w14:textId="34D00A58" w:rsidR="00521029" w:rsidRDefault="00521029" w:rsidP="00521029">
            <w:r>
              <w:t>Proveedores</w:t>
            </w:r>
          </w:p>
        </w:tc>
        <w:tc>
          <w:tcPr>
            <w:tcW w:w="1418" w:type="dxa"/>
          </w:tcPr>
          <w:p w14:paraId="03D02893" w14:textId="62EED87C" w:rsidR="00521029" w:rsidRDefault="00806C2D" w:rsidP="00806C2D">
            <w:pPr>
              <w:jc w:val="right"/>
            </w:pPr>
            <w:r>
              <w:t>600 000</w:t>
            </w:r>
          </w:p>
        </w:tc>
        <w:tc>
          <w:tcPr>
            <w:tcW w:w="1178" w:type="dxa"/>
          </w:tcPr>
          <w:p w14:paraId="63B1396F" w14:textId="067774E6" w:rsidR="00521029" w:rsidRDefault="00806C2D" w:rsidP="00806C2D">
            <w:pPr>
              <w:jc w:val="center"/>
            </w:pPr>
            <w:r>
              <w:t>30%</w:t>
            </w:r>
          </w:p>
        </w:tc>
      </w:tr>
      <w:tr w:rsidR="00521029" w14:paraId="1C4213EC" w14:textId="77777777" w:rsidTr="00025E11">
        <w:tc>
          <w:tcPr>
            <w:tcW w:w="1838" w:type="dxa"/>
          </w:tcPr>
          <w:p w14:paraId="7E990E4F" w14:textId="05CAF5B5" w:rsidR="00521029" w:rsidRDefault="00521029" w:rsidP="00521029">
            <w:r>
              <w:t>Bancos</w:t>
            </w:r>
          </w:p>
        </w:tc>
        <w:tc>
          <w:tcPr>
            <w:tcW w:w="1418" w:type="dxa"/>
          </w:tcPr>
          <w:p w14:paraId="50C6D872" w14:textId="46AC6A38" w:rsidR="00521029" w:rsidRDefault="00025E11" w:rsidP="00025E11">
            <w:pPr>
              <w:jc w:val="right"/>
            </w:pPr>
            <w:r>
              <w:t>200 000</w:t>
            </w:r>
          </w:p>
        </w:tc>
        <w:tc>
          <w:tcPr>
            <w:tcW w:w="1157" w:type="dxa"/>
          </w:tcPr>
          <w:p w14:paraId="776A6F0B" w14:textId="208EDA56" w:rsidR="00521029" w:rsidRDefault="00025E11" w:rsidP="00025E11">
            <w:pPr>
              <w:jc w:val="center"/>
            </w:pPr>
            <w:r>
              <w:t>10%</w:t>
            </w:r>
          </w:p>
        </w:tc>
        <w:tc>
          <w:tcPr>
            <w:tcW w:w="1819" w:type="dxa"/>
          </w:tcPr>
          <w:p w14:paraId="4932ECD6" w14:textId="69E9E5EE" w:rsidR="00521029" w:rsidRDefault="00521029" w:rsidP="00521029">
            <w:r>
              <w:t>Acreedores</w:t>
            </w:r>
          </w:p>
        </w:tc>
        <w:tc>
          <w:tcPr>
            <w:tcW w:w="1418" w:type="dxa"/>
          </w:tcPr>
          <w:p w14:paraId="41B4A0B0" w14:textId="394CB44C" w:rsidR="00521029" w:rsidRDefault="00806C2D" w:rsidP="00806C2D">
            <w:pPr>
              <w:jc w:val="right"/>
            </w:pPr>
            <w:r>
              <w:t>300 000</w:t>
            </w:r>
          </w:p>
        </w:tc>
        <w:tc>
          <w:tcPr>
            <w:tcW w:w="1178" w:type="dxa"/>
          </w:tcPr>
          <w:p w14:paraId="49855CB3" w14:textId="472629C6" w:rsidR="00521029" w:rsidRDefault="00806C2D" w:rsidP="00806C2D">
            <w:pPr>
              <w:jc w:val="center"/>
            </w:pPr>
            <w:r>
              <w:t>15%</w:t>
            </w:r>
          </w:p>
        </w:tc>
      </w:tr>
      <w:tr w:rsidR="00521029" w14:paraId="33FE24B1" w14:textId="77777777" w:rsidTr="00025E11">
        <w:tc>
          <w:tcPr>
            <w:tcW w:w="1838" w:type="dxa"/>
          </w:tcPr>
          <w:p w14:paraId="2E0316DB" w14:textId="703B321E" w:rsidR="00521029" w:rsidRDefault="00521029" w:rsidP="00521029">
            <w:r>
              <w:t>Almacén</w:t>
            </w:r>
          </w:p>
        </w:tc>
        <w:tc>
          <w:tcPr>
            <w:tcW w:w="1418" w:type="dxa"/>
          </w:tcPr>
          <w:p w14:paraId="4790AC65" w14:textId="769473CE" w:rsidR="00521029" w:rsidRDefault="00025E11" w:rsidP="00025E11">
            <w:pPr>
              <w:jc w:val="right"/>
            </w:pPr>
            <w:r>
              <w:t>180 000</w:t>
            </w:r>
          </w:p>
        </w:tc>
        <w:tc>
          <w:tcPr>
            <w:tcW w:w="1157" w:type="dxa"/>
          </w:tcPr>
          <w:p w14:paraId="14327A8E" w14:textId="7CE406EE" w:rsidR="00521029" w:rsidRDefault="00025E11" w:rsidP="00025E11">
            <w:pPr>
              <w:jc w:val="center"/>
            </w:pPr>
            <w:r>
              <w:t>9%</w:t>
            </w:r>
          </w:p>
        </w:tc>
        <w:tc>
          <w:tcPr>
            <w:tcW w:w="1819" w:type="dxa"/>
          </w:tcPr>
          <w:p w14:paraId="6F946795" w14:textId="2C73C774" w:rsidR="00521029" w:rsidRDefault="00521029" w:rsidP="00521029">
            <w:r>
              <w:t>Pasivo Total</w:t>
            </w:r>
          </w:p>
        </w:tc>
        <w:tc>
          <w:tcPr>
            <w:tcW w:w="1418" w:type="dxa"/>
          </w:tcPr>
          <w:p w14:paraId="2B56C2B4" w14:textId="777DF327" w:rsidR="00521029" w:rsidRDefault="00806C2D" w:rsidP="00806C2D">
            <w:pPr>
              <w:jc w:val="right"/>
            </w:pPr>
            <w:r>
              <w:t>900 000</w:t>
            </w:r>
          </w:p>
        </w:tc>
        <w:tc>
          <w:tcPr>
            <w:tcW w:w="1178" w:type="dxa"/>
          </w:tcPr>
          <w:p w14:paraId="3A784BBB" w14:textId="164EC9A0" w:rsidR="00521029" w:rsidRDefault="00806C2D" w:rsidP="00806C2D">
            <w:pPr>
              <w:jc w:val="center"/>
            </w:pPr>
            <w:r>
              <w:t>45%</w:t>
            </w:r>
          </w:p>
        </w:tc>
      </w:tr>
      <w:tr w:rsidR="00521029" w14:paraId="33FC1F96" w14:textId="77777777" w:rsidTr="00025E11">
        <w:tc>
          <w:tcPr>
            <w:tcW w:w="1838" w:type="dxa"/>
          </w:tcPr>
          <w:p w14:paraId="608089FE" w14:textId="58613786" w:rsidR="00521029" w:rsidRDefault="00521029" w:rsidP="00521029">
            <w:r>
              <w:t>Fijo</w:t>
            </w:r>
          </w:p>
        </w:tc>
        <w:tc>
          <w:tcPr>
            <w:tcW w:w="1418" w:type="dxa"/>
          </w:tcPr>
          <w:p w14:paraId="3E3ABB40" w14:textId="755BC637" w:rsidR="00521029" w:rsidRDefault="00025E11" w:rsidP="00025E11">
            <w:pPr>
              <w:jc w:val="right"/>
            </w:pPr>
            <w:r>
              <w:t>1 400 000</w:t>
            </w:r>
          </w:p>
        </w:tc>
        <w:tc>
          <w:tcPr>
            <w:tcW w:w="1157" w:type="dxa"/>
          </w:tcPr>
          <w:p w14:paraId="6E2E6841" w14:textId="0EBE2C1C" w:rsidR="00521029" w:rsidRDefault="00025E11" w:rsidP="00025E11">
            <w:pPr>
              <w:jc w:val="center"/>
            </w:pPr>
            <w:r>
              <w:t>70%</w:t>
            </w:r>
          </w:p>
        </w:tc>
        <w:tc>
          <w:tcPr>
            <w:tcW w:w="1819" w:type="dxa"/>
          </w:tcPr>
          <w:p w14:paraId="056275EF" w14:textId="7656F471" w:rsidR="00521029" w:rsidRDefault="00521029" w:rsidP="00521029">
            <w:r>
              <w:t>Capital</w:t>
            </w:r>
          </w:p>
        </w:tc>
        <w:tc>
          <w:tcPr>
            <w:tcW w:w="1418" w:type="dxa"/>
          </w:tcPr>
          <w:p w14:paraId="2D531017" w14:textId="77777777" w:rsidR="00521029" w:rsidRDefault="00521029" w:rsidP="00806C2D">
            <w:pPr>
              <w:jc w:val="right"/>
            </w:pPr>
          </w:p>
        </w:tc>
        <w:tc>
          <w:tcPr>
            <w:tcW w:w="1178" w:type="dxa"/>
          </w:tcPr>
          <w:p w14:paraId="669D1A05" w14:textId="77777777" w:rsidR="00521029" w:rsidRDefault="00521029" w:rsidP="00806C2D">
            <w:pPr>
              <w:jc w:val="center"/>
            </w:pPr>
          </w:p>
        </w:tc>
      </w:tr>
      <w:tr w:rsidR="00521029" w14:paraId="2E2F357B" w14:textId="77777777" w:rsidTr="00025E11">
        <w:tc>
          <w:tcPr>
            <w:tcW w:w="1838" w:type="dxa"/>
          </w:tcPr>
          <w:p w14:paraId="509428C7" w14:textId="519815A9" w:rsidR="00521029" w:rsidRDefault="00521029" w:rsidP="00521029">
            <w:r>
              <w:t>Diferido</w:t>
            </w:r>
          </w:p>
        </w:tc>
        <w:tc>
          <w:tcPr>
            <w:tcW w:w="1418" w:type="dxa"/>
          </w:tcPr>
          <w:p w14:paraId="5EED4B5C" w14:textId="64659871" w:rsidR="00521029" w:rsidRDefault="00025E11" w:rsidP="00025E11">
            <w:pPr>
              <w:jc w:val="right"/>
            </w:pPr>
            <w:r>
              <w:t>100 000</w:t>
            </w:r>
          </w:p>
        </w:tc>
        <w:tc>
          <w:tcPr>
            <w:tcW w:w="1157" w:type="dxa"/>
          </w:tcPr>
          <w:p w14:paraId="5070E5EF" w14:textId="2116D530" w:rsidR="00521029" w:rsidRDefault="00025E11" w:rsidP="00025E11">
            <w:pPr>
              <w:jc w:val="center"/>
            </w:pPr>
            <w:r>
              <w:t>5%</w:t>
            </w:r>
          </w:p>
        </w:tc>
        <w:tc>
          <w:tcPr>
            <w:tcW w:w="1819" w:type="dxa"/>
          </w:tcPr>
          <w:p w14:paraId="1631CFAD" w14:textId="06D56B39" w:rsidR="00521029" w:rsidRDefault="00521029" w:rsidP="00521029">
            <w:r>
              <w:t>Capital social</w:t>
            </w:r>
          </w:p>
        </w:tc>
        <w:tc>
          <w:tcPr>
            <w:tcW w:w="1418" w:type="dxa"/>
          </w:tcPr>
          <w:p w14:paraId="0FF8EF20" w14:textId="11EA3588" w:rsidR="00521029" w:rsidRDefault="00806C2D" w:rsidP="00806C2D">
            <w:pPr>
              <w:jc w:val="right"/>
            </w:pPr>
            <w:r>
              <w:t>1 100 000</w:t>
            </w:r>
          </w:p>
        </w:tc>
        <w:tc>
          <w:tcPr>
            <w:tcW w:w="1178" w:type="dxa"/>
          </w:tcPr>
          <w:p w14:paraId="5BFA58D8" w14:textId="081727F6" w:rsidR="00521029" w:rsidRDefault="00806C2D" w:rsidP="00806C2D">
            <w:pPr>
              <w:jc w:val="center"/>
            </w:pPr>
            <w:r>
              <w:t>55%</w:t>
            </w:r>
          </w:p>
        </w:tc>
      </w:tr>
      <w:tr w:rsidR="00521029" w14:paraId="57EFF1B0" w14:textId="77777777" w:rsidTr="00806C2D">
        <w:tc>
          <w:tcPr>
            <w:tcW w:w="1838" w:type="dxa"/>
            <w:shd w:val="clear" w:color="auto" w:fill="FFD966" w:themeFill="accent4" w:themeFillTint="99"/>
          </w:tcPr>
          <w:p w14:paraId="5F6B24FD" w14:textId="63FE52B3" w:rsidR="00521029" w:rsidRDefault="00025E11" w:rsidP="00521029">
            <w:r>
              <w:t>Suma de Activo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C76D5CD" w14:textId="7C4F8A32" w:rsidR="00521029" w:rsidRDefault="00025E11" w:rsidP="00025E11">
            <w:pPr>
              <w:jc w:val="right"/>
            </w:pPr>
            <w:r>
              <w:t>2 000 000</w:t>
            </w:r>
          </w:p>
        </w:tc>
        <w:tc>
          <w:tcPr>
            <w:tcW w:w="1157" w:type="dxa"/>
            <w:shd w:val="clear" w:color="auto" w:fill="FFD966" w:themeFill="accent4" w:themeFillTint="99"/>
          </w:tcPr>
          <w:p w14:paraId="65F4F5C8" w14:textId="409A84D9" w:rsidR="00521029" w:rsidRDefault="00025E11" w:rsidP="00025E11">
            <w:pPr>
              <w:jc w:val="center"/>
            </w:pPr>
            <w:r>
              <w:t>100%</w:t>
            </w:r>
          </w:p>
        </w:tc>
        <w:tc>
          <w:tcPr>
            <w:tcW w:w="1819" w:type="dxa"/>
            <w:shd w:val="clear" w:color="auto" w:fill="FFD966" w:themeFill="accent4" w:themeFillTint="99"/>
          </w:tcPr>
          <w:p w14:paraId="0185F179" w14:textId="77B249B5" w:rsidR="00521029" w:rsidRDefault="00521029" w:rsidP="00521029">
            <w:r>
              <w:t>Suma de Pasivo y Capita</w:t>
            </w:r>
            <w:r w:rsidR="00025E11">
              <w:t>l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0A8D4D15" w14:textId="77777777" w:rsidR="00521029" w:rsidRDefault="00521029" w:rsidP="00521029"/>
        </w:tc>
        <w:tc>
          <w:tcPr>
            <w:tcW w:w="1178" w:type="dxa"/>
            <w:shd w:val="clear" w:color="auto" w:fill="FFD966" w:themeFill="accent4" w:themeFillTint="99"/>
          </w:tcPr>
          <w:p w14:paraId="69D2D2DA" w14:textId="77777777" w:rsidR="00521029" w:rsidRDefault="00521029" w:rsidP="00521029"/>
        </w:tc>
      </w:tr>
    </w:tbl>
    <w:p w14:paraId="2537DB3E" w14:textId="02AE7E9A" w:rsidR="00521029" w:rsidRDefault="00521029" w:rsidP="00521029"/>
    <w:p w14:paraId="7B3B82C7" w14:textId="7E64A636" w:rsidR="00806C2D" w:rsidRDefault="00806C2D" w:rsidP="00B933DA">
      <w:pPr>
        <w:jc w:val="both"/>
      </w:pPr>
      <w:r>
        <w:t>Una vez asignados los porcentajes a cada una de las partes del estado financiero, lo que se debe hacer, es interpretar los datos para generar una opinión de los mismos.</w:t>
      </w:r>
    </w:p>
    <w:p w14:paraId="1C8CB62C" w14:textId="77777777" w:rsidR="00D51068" w:rsidRDefault="00D51068"/>
    <w:sectPr w:rsidR="00D51068">
      <w:headerReference w:type="default" r:id="rId5"/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3B736" w14:textId="77777777" w:rsidR="0048737C" w:rsidRDefault="00B933DA" w:rsidP="0048737C">
    <w:pPr>
      <w:pStyle w:val="Piedepgina"/>
      <w:jc w:val="right"/>
    </w:pPr>
    <w:r>
      <w:t>Elba Mendoza</w:t>
    </w:r>
    <w:r>
      <w:t xml:space="preserve"> M.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E261E" w14:textId="77777777" w:rsidR="00453CF5" w:rsidRDefault="00B933D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0D9F77C" wp14:editId="24F832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ADFC534" w14:textId="77777777" w:rsidR="00453CF5" w:rsidRDefault="00B933D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0D9F77C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ADFC534" w14:textId="77777777" w:rsidR="00453CF5" w:rsidRDefault="00B933D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Tem</w:t>
    </w:r>
    <w:r>
      <w:t xml:space="preserve">a II. </w:t>
    </w:r>
    <w:r>
      <w:t>Análisis</w:t>
    </w:r>
    <w:r>
      <w:t xml:space="preserve"> e interpretación de Estados Financieros</w:t>
    </w:r>
  </w:p>
  <w:p w14:paraId="75C8F20F" w14:textId="77777777" w:rsidR="0048737C" w:rsidRDefault="00B933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124A3"/>
    <w:multiLevelType w:val="hybridMultilevel"/>
    <w:tmpl w:val="67BC03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00AE7"/>
    <w:multiLevelType w:val="hybridMultilevel"/>
    <w:tmpl w:val="FE3E1C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068"/>
    <w:rsid w:val="00025E11"/>
    <w:rsid w:val="000E3073"/>
    <w:rsid w:val="00172BFE"/>
    <w:rsid w:val="002A2F84"/>
    <w:rsid w:val="004A1161"/>
    <w:rsid w:val="00521029"/>
    <w:rsid w:val="00806C2D"/>
    <w:rsid w:val="00B933DA"/>
    <w:rsid w:val="00D51068"/>
    <w:rsid w:val="00DE7C02"/>
    <w:rsid w:val="00F6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35A1"/>
  <w15:chartTrackingRefBased/>
  <w15:docId w15:val="{6A8D6CBD-3E81-4E89-A475-9A90E527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0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106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1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068"/>
  </w:style>
  <w:style w:type="paragraph" w:styleId="Piedepgina">
    <w:name w:val="footer"/>
    <w:basedOn w:val="Normal"/>
    <w:link w:val="PiedepginaCar"/>
    <w:uiPriority w:val="99"/>
    <w:unhideWhenUsed/>
    <w:rsid w:val="00D510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068"/>
  </w:style>
  <w:style w:type="table" w:styleId="Tablaconcuadrcula">
    <w:name w:val="Table Grid"/>
    <w:basedOn w:val="Tablanormal"/>
    <w:uiPriority w:val="39"/>
    <w:rsid w:val="004A1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 Mendoza</dc:creator>
  <cp:keywords/>
  <dc:description/>
  <cp:lastModifiedBy>Elba Mendoza</cp:lastModifiedBy>
  <cp:revision>3</cp:revision>
  <dcterms:created xsi:type="dcterms:W3CDTF">2020-11-19T20:52:00Z</dcterms:created>
  <dcterms:modified xsi:type="dcterms:W3CDTF">2020-11-19T21:59:00Z</dcterms:modified>
</cp:coreProperties>
</file>