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60"/>
        <w:ind w:firstLine="0"/>
        <w:jc w:val="center"/>
      </w:pPr>
      <w:r>
        <w:rPr>
          <w:rFonts w:ascii="Microsoft YaHei" w:cs="Microsoft YaHei" w:eastAsia="Microsoft YaHei" w:hAnsi="Microsoft YaHei"/>
          <w:b/>
          <w:bCs/>
          <w:color w:val="2F5496"/>
          <w:sz w:val="52"/>
          <w:szCs w:val="52"/>
        </w:rPr>
        <w:t xml:space="preserve">UN ECE R139.00 法规介绍</w:t>
      </w:r>
    </w:p>
    <w:p>
      <w:pPr>
        <w:spacing w:after="240"/>
        <w:ind w:firstLine="0"/>
        <w:jc w:val="center"/>
      </w:pPr>
      <w:r>
        <w:rPr>
          <w:rFonts w:ascii="Microsoft YaHei" w:cs="Microsoft YaHei" w:eastAsia="Microsoft YaHei" w:hAnsi="Microsoft YaHei"/>
          <w:color w:val="555555"/>
          <w:sz w:val="32"/>
          <w:szCs w:val="32"/>
        </w:rPr>
        <w:t xml:space="preserve">关于批准车辆电子稳定性控制系统的统一规定</w:t>
      </w:r>
    </w:p>
    <w:p>
      <w:pPr>
        <w:spacing w:after="120"/>
        <w:ind w:firstLine="0"/>
        <w:jc w:val="center"/>
      </w:pPr>
      <w:r>
        <w:rPr>
          <w:rFonts w:ascii="Microsoft YaHei" w:cs="Microsoft YaHei" w:eastAsia="Microsoft YaHei" w:hAnsi="Microsoft YaHei"/>
          <w:color w:val="666666"/>
          <w:sz w:val="24"/>
          <w:szCs w:val="24"/>
        </w:rPr>
        <w:t xml:space="preserve">联合国欧洲经济委员会</w:t>
      </w:r>
    </w:p>
    <w:p>
      <w:pPr>
        <w:spacing w:after="0"/>
        <w:ind w:firstLine="0"/>
        <w:jc w:val="center"/>
      </w:pPr>
      <w:r>
        <w:rPr>
          <w:rFonts w:ascii="Microsoft YaHei" w:cs="Microsoft YaHei" w:eastAsia="Microsoft YaHei" w:hAnsi="Microsoft YaHei"/>
          <w:color w:val="666666"/>
          <w:sz w:val="24"/>
          <w:szCs w:val="24"/>
        </w:rPr>
        <w:t xml:space="preserve">现行有效</w:t>
      </w:r>
    </w:p>
    <w:p>
      <w:pPr>
        <w:sectPr>
          <w:pgSz w:w="11906" w:h="16838" w:orient="portrait"/>
          <w:pgMar w:top="1440" w:right="1440" w:bottom="1440" w:left="1440" w:header="708" w:footer="708" w:gutter="0"/>
          <w:pgNumType/>
          <w:docGrid w:linePitch="360"/>
        </w:sectPr>
      </w:pPr>
    </w:p>
    <w:p>
      <w:pPr>
        <w:pStyle w:val="Heading1"/>
        <w:spacing w:after="240" w:before="480"/>
        <w:ind w:left="0" w:firstLine="0"/>
      </w:pPr>
      <w:r>
        <w:rPr>
          <w:rFonts w:ascii="Microsoft YaHei" w:cs="Microsoft YaHei" w:eastAsia="Microsoft YaHei" w:hAnsi="Microsoft YaHei"/>
          <w:b/>
          <w:bCs/>
          <w:color w:val="2F5496"/>
          <w:sz w:val="36"/>
          <w:szCs w:val="36"/>
        </w:rPr>
        <w:t xml:space="preserve">一、法规概述</w:t>
      </w:r>
    </w:p>
    <w:p>
      <w:pPr>
        <w:spacing w:after="0" w:line="360" w:lineRule="auto"/>
        <w:ind w:firstLine="480"/>
        <w:jc w:val="both"/>
      </w:pPr>
      <w:r>
        <w:rPr>
          <w:rFonts w:ascii="Microsoft YaHei" w:cs="Microsoft YaHei" w:eastAsia="Microsoft YaHei" w:hAnsi="Microsoft YaHei"/>
          <w:sz w:val="24"/>
          <w:szCs w:val="24"/>
        </w:rPr>
        <w:t xml:space="preserve">UN ECE R139.00 是联合国欧洲经济委员会制定的关于批准车辆电子稳定性控制系统的统一技术批准规定，属于1958年协议框架下的重要安全法规。该法规旨在确保车辆在正常使用和碰撞工况下的安全性能，是车辆被动安全的重要组成部分。</w:t>
      </w:r>
    </w:p>
    <w:p>
      <w:pPr>
        <w:pStyle w:val="Heading1"/>
        <w:spacing w:after="240" w:before="480"/>
        <w:ind w:left="0" w:firstLine="0"/>
      </w:pPr>
      <w:r>
        <w:rPr>
          <w:rFonts w:ascii="Microsoft YaHei" w:cs="Microsoft YaHei" w:eastAsia="Microsoft YaHei" w:hAnsi="Microsoft YaHei"/>
          <w:b/>
          <w:bCs/>
          <w:color w:val="2F5496"/>
          <w:sz w:val="36"/>
          <w:szCs w:val="36"/>
        </w:rPr>
        <w:t xml:space="preserve">二、基本信息</w:t>
      </w:r>
    </w:p>
    <w:p>
      <w:pPr>
        <w:spacing w:after="80" w:before="120"/>
        <w:ind w:firstLine="0"/>
        <w:jc w:val="center"/>
      </w:pPr>
      <w:r>
        <w:rPr>
          <w:rFonts w:ascii="Microsoft YaHei" w:cs="Microsoft YaHei" w:eastAsia="Microsoft YaHei" w:hAnsi="Microsoft YaHei"/>
          <w:b/>
          <w:bCs/>
          <w:sz w:val="18"/>
          <w:szCs w:val="18"/>
        </w:rPr>
        <w:t xml:space="preserve">法规基本信息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项目</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法规全称</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关于批准车辆电子稳定性控制系统的统一规定</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英文名称</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Electronic Stability Control (ESC)</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适用车辆</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M1类、N1类车辆</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生效时间</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现行有效</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版本</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00系列修正案</w:t>
            </w:r>
          </w:p>
        </w:tc>
      </w:tr>
    </w:tbl>
    <w:p>
      <w:pPr>
        <w:pStyle w:val="Heading1"/>
        <w:spacing w:after="240" w:before="480"/>
        <w:ind w:left="0" w:firstLine="0"/>
      </w:pPr>
      <w:r>
        <w:rPr>
          <w:rFonts w:ascii="Microsoft YaHei" w:cs="Microsoft YaHei" w:eastAsia="Microsoft YaHei" w:hAnsi="Microsoft YaHei"/>
          <w:b/>
          <w:bCs/>
          <w:color w:val="2F5496"/>
          <w:sz w:val="36"/>
          <w:szCs w:val="36"/>
        </w:rPr>
        <w:t xml:space="preserve">三、核心内容</w:t>
      </w:r>
    </w:p>
    <w:p>
      <w:pPr>
        <w:pStyle w:val="Heading2"/>
        <w:spacing w:after="120" w:before="360"/>
        <w:ind w:left="0" w:firstLine="0"/>
      </w:pPr>
      <w:r>
        <w:rPr>
          <w:rFonts w:ascii="Microsoft YaHei" w:cs="Microsoft YaHei" w:eastAsia="Microsoft YaHei" w:hAnsi="Microsoft YaHei"/>
          <w:b/>
          <w:bCs/>
          <w:color w:val="2F5496"/>
          <w:sz w:val="30"/>
          <w:szCs w:val="30"/>
        </w:rPr>
        <w:t xml:space="preserve">（一）涵盖的关键部件</w:t>
      </w:r>
    </w:p>
    <w:p>
      <w:pPr>
        <w:spacing w:after="0" w:line="360" w:lineRule="auto"/>
        <w:ind w:firstLine="480"/>
        <w:jc w:val="both"/>
      </w:pPr>
      <w:r>
        <w:rPr>
          <w:rFonts w:ascii="Microsoft YaHei" w:cs="Microsoft YaHei" w:eastAsia="Microsoft YaHei" w:hAnsi="Microsoft YaHei"/>
          <w:sz w:val="24"/>
          <w:szCs w:val="24"/>
        </w:rPr>
        <w:t xml:space="preserve">1. 转向角度传感器：检测转向输入</w:t>
      </w:r>
    </w:p>
    <w:p>
      <w:pPr>
        <w:spacing w:after="0" w:line="360" w:lineRule="auto"/>
        <w:ind w:firstLine="480"/>
        <w:jc w:val="both"/>
      </w:pPr>
      <w:r>
        <w:rPr>
          <w:rFonts w:ascii="Microsoft YaHei" w:cs="Microsoft YaHei" w:eastAsia="Microsoft YaHei" w:hAnsi="Microsoft YaHei"/>
          <w:sz w:val="24"/>
          <w:szCs w:val="24"/>
        </w:rPr>
        <w:t xml:space="preserve">2. 加速度传感器：测量车辆加速度</w:t>
      </w:r>
    </w:p>
    <w:p>
      <w:pPr>
        <w:spacing w:after="0" w:line="360" w:lineRule="auto"/>
        <w:ind w:firstLine="480"/>
        <w:jc w:val="both"/>
      </w:pPr>
      <w:r>
        <w:rPr>
          <w:rFonts w:ascii="Microsoft YaHei" w:cs="Microsoft YaHei" w:eastAsia="Microsoft YaHei" w:hAnsi="Microsoft YaHei"/>
          <w:sz w:val="24"/>
          <w:szCs w:val="24"/>
        </w:rPr>
        <w:t xml:space="preserve">3. 横摆角速度传感器：检测车辆旋转</w:t>
      </w:r>
    </w:p>
    <w:p>
      <w:pPr>
        <w:spacing w:after="0" w:line="360" w:lineRule="auto"/>
        <w:ind w:firstLine="480"/>
        <w:jc w:val="both"/>
      </w:pPr>
      <w:r>
        <w:rPr>
          <w:rFonts w:ascii="Microsoft YaHei" w:cs="Microsoft YaHei" w:eastAsia="Microsoft YaHei" w:hAnsi="Microsoft YaHei"/>
          <w:sz w:val="24"/>
          <w:szCs w:val="24"/>
        </w:rPr>
        <w:t xml:space="preserve">4. 电子控制单元（ECU）：处理数据并控制执行器</w:t>
      </w:r>
    </w:p>
    <w:p>
      <w:pPr>
        <w:pStyle w:val="Heading1"/>
        <w:spacing w:after="240" w:before="480"/>
        <w:ind w:left="0" w:firstLine="0"/>
      </w:pPr>
      <w:r>
        <w:rPr>
          <w:rFonts w:ascii="Microsoft YaHei" w:cs="Microsoft YaHei" w:eastAsia="Microsoft YaHei" w:hAnsi="Microsoft YaHei"/>
          <w:b/>
          <w:bCs/>
          <w:color w:val="2F5496"/>
          <w:sz w:val="36"/>
          <w:szCs w:val="36"/>
        </w:rPr>
        <w:t xml:space="preserve">四、技术要求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（一）性能要求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能够纠正车辆转向不足或过度状态</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通过独立制动车轮保持侧向稳定性</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调整发动机动力输出</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在150毫秒内完成动态调控</w:t>
      </w:r>
    </w:p>
    <w:p>
      <w:pPr>
        <w:pStyle w:val="Heading2"/>
        <w:spacing w:after="120" w:before="360"/>
        <w:ind w:left="0" w:firstLine="0"/>
      </w:pPr>
      <w:r>
        <w:rPr>
          <w:rFonts w:ascii="Microsoft YaHei" w:cs="Microsoft YaHei" w:eastAsia="Microsoft YaHei" w:hAnsi="Microsoft YaHei"/>
          <w:b/>
          <w:bCs/>
          <w:color w:val="2F5496"/>
          <w:sz w:val="30"/>
          <w:szCs w:val="30"/>
        </w:rPr>
        <w:t xml:space="preserve">（二）测试方法</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转角缓增转向（SIS）试验</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正弦-停顿转向（SWD）试验</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稳态回转试验</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双移线试验</w:t>
      </w:r>
    </w:p>
    <w:p>
      <w:pPr>
        <w:pStyle w:val="Heading1"/>
        <w:spacing w:after="240" w:before="480"/>
        <w:ind w:left="0" w:firstLine="0"/>
      </w:pPr>
      <w:r>
        <w:rPr>
          <w:rFonts w:ascii="Microsoft YaHei" w:cs="Microsoft YaHei" w:eastAsia="Microsoft YaHei" w:hAnsi="Microsoft YaHei"/>
          <w:b/>
          <w:bCs/>
          <w:color w:val="2F5496"/>
          <w:sz w:val="36"/>
          <w:szCs w:val="36"/>
        </w:rPr>
        <w:t xml:space="preserve">五、法规意义</w:t>
      </w:r>
    </w:p>
    <w:p>
      <w:pPr>
        <w:spacing w:after="0" w:line="360" w:lineRule="auto"/>
        <w:ind w:firstLine="480"/>
        <w:jc w:val="both"/>
      </w:pPr>
      <w:r>
        <w:rPr>
          <w:rFonts w:ascii="Microsoft YaHei" w:cs="Microsoft YaHei" w:eastAsia="Microsoft YaHei" w:hAnsi="Microsoft YaHei"/>
          <w:sz w:val="24"/>
          <w:szCs w:val="24"/>
        </w:rPr>
        <w:t xml:space="preserve">能降低35%单车事故率与49%SUV翻车风险。该法规通过统一的技术标准，促进了国际贸易便利化，确保了相关系统的安全性能，有效降低了交通事故中的伤亡风险。</w:t>
      </w:r>
    </w:p>
    <w:p>
      <w:pPr>
        <w:pStyle w:val="Heading1"/>
        <w:spacing w:after="240" w:before="480"/>
        <w:ind w:left="0" w:firstLine="0"/>
      </w:pPr>
      <w:r>
        <w:rPr>
          <w:rFonts w:ascii="Microsoft YaHei" w:cs="Microsoft YaHei" w:eastAsia="Microsoft YaHei" w:hAnsi="Microsoft YaHei"/>
          <w:b/>
          <w:bCs/>
          <w:color w:val="2F5496"/>
          <w:sz w:val="36"/>
          <w:szCs w:val="36"/>
        </w:rPr>
        <w:t xml:space="preserve">六、认证流程</w:t>
      </w:r>
    </w:p>
    <w:p>
      <w:pPr>
        <w:spacing w:after="80" w:before="120"/>
        <w:ind w:firstLine="0"/>
        <w:jc w:val="center"/>
      </w:pPr>
      <w:r>
        <w:rPr>
          <w:rFonts w:ascii="Microsoft YaHei" w:cs="Microsoft YaHei" w:eastAsia="Microsoft YaHei" w:hAnsi="Microsoft YaHei"/>
          <w:b/>
          <w:bCs/>
          <w:sz w:val="18"/>
          <w:szCs w:val="18"/>
        </w:rPr>
        <w:t xml:space="preserve">认证流程步骤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步骤</w:t>
            </w:r>
          </w:p>
        </w:tc>
        <w:tc>
          <w:tcPr>
            <w:tcW w:type="dxa" w:w="4513"/>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内容</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第一步：申请准备</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提交设计图纸、材料规格、试验数据等技术资料</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第二步：产品测试</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在认可实验室进行机械强度、耐久性等测试</w:t>
            </w:r>
          </w:p>
        </w:tc>
      </w:tr>
      <w:tr>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第三步：工厂审查</w:t>
            </w:r>
          </w:p>
        </w:tc>
        <w:tc>
          <w:tcPr>
            <w:tcW w:type="dxa" w:w="4513"/>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检查生产设备、质量控制体系、人员资质</w:t>
            </w:r>
          </w:p>
        </w:tc>
      </w:tr>
      <w:tr>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第四步：认证发证</w:t>
            </w:r>
          </w:p>
        </w:tc>
        <w:tc>
          <w:tcPr>
            <w:tcW w:type="dxa" w:w="4513"/>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合格后颁发E-mark认证证书和批准标志</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Microsoft YaHei" w:cs="Microsoft YaHei" w:eastAsia="Microsoft YaHei" w:hAnsi="Microsoft YaHei"/>
        <w:color w:val="808080"/>
        <w:sz w:val="18"/>
        <w:szCs w:val="18"/>
      </w:rPr>
      <w:t xml:space="preserve">- </w:t>
    </w: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ind w:firstLine="0"/>
    </w:pPr>
    <w:r>
      <w:rPr>
        <w:rFonts w:ascii="Microsoft YaHei" w:cs="Microsoft YaHei" w:eastAsia="Microsoft YaHei" w:hAnsi="Microsoft YaHei"/>
        <w:color w:val="808080"/>
        <w:sz w:val="18"/>
        <w:szCs w:val="18"/>
      </w:rPr>
      <w:t xml:space="preserve">UN ECE R139.00 法规介绍</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40" w:lineRule="auto"/>
    </w:pPr>
    <w:rPr>
      <w:rFonts w:ascii="Microsoft YaHei" w:cs="Microsoft YaHei" w:eastAsia="Microsoft YaHei" w:hAnsi="Microsoft YaHei"/>
      <w:b/>
      <w:bCs/>
      <w:color w:val="000000"/>
      <w:sz w:val="36"/>
      <w:szCs w:val="36"/>
    </w:rPr>
  </w:style>
  <w:style w:type="paragraph" w:styleId="Heading2">
    <w:name w:val="Heading 2"/>
    <w:basedOn w:val="Normal"/>
    <w:next w:val="Normal"/>
    <w:qFormat/>
    <w:pPr>
      <w:spacing w:after="120" w:before="360" w:line="240" w:lineRule="auto"/>
    </w:pPr>
    <w:rPr>
      <w:rFonts w:ascii="Microsoft YaHei" w:cs="Microsoft YaHei" w:eastAsia="Microsoft YaHei" w:hAnsi="Microsoft YaHei"/>
      <w:b/>
      <w:bCs/>
      <w:color w:val="000000"/>
      <w:sz w:val="30"/>
      <w:szCs w:val="30"/>
    </w:rPr>
  </w:style>
  <w:style w:type="paragraph" w:styleId="Heading3">
    <w:name w:val="Heading 3"/>
    <w:basedOn w:val="Normal"/>
    <w:next w:val="Normal"/>
    <w:qFormat/>
    <w:pPr>
      <w:spacing w:after="80" w:before="240" w:line="240" w:lineRule="auto"/>
    </w:pPr>
    <w:rPr>
      <w:rFonts w:ascii="Microsoft YaHei" w:cs="Microsoft YaHei" w:eastAsia="Microsoft YaHei" w:hAnsi="Microsoft YaHei"/>
      <w:b/>
      <w:bCs/>
      <w:color w:val="000000"/>
      <w:sz w:val="26"/>
      <w:szCs w:val="26"/>
    </w:rPr>
  </w:style>
  <w:style w:type="paragraph" w:styleId="Heading4">
    <w:name w:val="Heading 4"/>
    <w:basedOn w:val="Normal"/>
    <w:next w:val="Normal"/>
    <w:qFormat/>
    <w:pPr>
      <w:spacing w:after="80" w:before="160" w:line="240" w:lineRule="auto"/>
    </w:pPr>
    <w:rPr>
      <w:rFonts w:ascii="Microsoft YaHei" w:cs="Microsoft YaHei" w:eastAsia="Microsoft YaHei" w:hAnsi="Microsoft YaHei"/>
      <w:b/>
      <w:bCs/>
      <w:color w:val="000000"/>
      <w:sz w:val="24"/>
      <w:szCs w:val="24"/>
    </w:rPr>
  </w:style>
  <w:style w:type="paragraph" w:styleId="Heading5">
    <w:name w:val="Heading 5"/>
    <w:basedOn w:val="Normal"/>
    <w:next w:val="Normal"/>
    <w:qFormat/>
    <w:pPr>
      <w:spacing w:after="60" w:before="120" w:line="240" w:lineRule="auto"/>
    </w:pPr>
    <w:rPr>
      <w:rFonts w:ascii="Microsoft YaHei" w:cs="Microsoft YaHei" w:eastAsia="Microsoft YaHei" w:hAnsi="Microsoft YaHei"/>
      <w:b/>
      <w:bCs/>
      <w:color w:val="000000"/>
      <w:sz w:val="22"/>
      <w:szCs w:val="22"/>
    </w:rPr>
  </w:style>
  <w:style w:type="paragraph" w:styleId="Heading6">
    <w:name w:val="Heading 6"/>
    <w:basedOn w:val="Normal"/>
    <w:next w:val="Normal"/>
    <w:qFormat/>
    <w:pPr>
      <w:spacing w:after="60" w:before="120" w:line="240" w:lineRule="auto"/>
    </w:pPr>
    <w:rPr>
      <w:rFonts w:ascii="Microsoft YaHei" w:cs="Microsoft YaHei" w:eastAsia="Microsoft YaHei" w:hAnsi="Microsoft YaHei"/>
      <w:b w:val="false"/>
      <w:bCs w:val="false"/>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ECE R139.00 法规介绍</dc:title>
  <dc:creator>联合国欧洲经济委员会</dc:creator>
  <cp:lastModifiedBy>Un-named</cp:lastModifiedBy>
  <cp:revision>1</cp:revision>
  <dcterms:created xsi:type="dcterms:W3CDTF">2026-05-17T05:44:04.038Z</dcterms:created>
  <dcterms:modified xsi:type="dcterms:W3CDTF">2026-05-17T05:44:04.038Z</dcterms:modified>
</cp:coreProperties>
</file>

<file path=docProps/custom.xml><?xml version="1.0" encoding="utf-8"?>
<Properties xmlns="http://schemas.openxmlformats.org/officeDocument/2006/custom-properties" xmlns:vt="http://schemas.openxmlformats.org/officeDocument/2006/docPropsVTypes"/>
</file>