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联合国欧洲经济委员会第140号法规</w:t>
      </w:r>
    </w:p>
    <w:p>
      <w:pPr>
        <w:spacing w:after="240"/>
        <w:ind w:firstLine="0"/>
        <w:jc w:val="center"/>
      </w:pPr>
      <w:r>
        <w:rPr>
          <w:rFonts w:ascii="Microsoft YaHei" w:cs="Microsoft YaHei" w:eastAsia="Microsoft YaHei" w:hAnsi="Microsoft YaHei"/>
          <w:color w:val="555555"/>
          <w:sz w:val="32"/>
          <w:szCs w:val="32"/>
        </w:rPr>
        <w:t xml:space="preserve">关于批准乘用车电子稳定控制系统(ESC)的统一规定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联合国欧洲经济委员会(UNECE)</w:t>
      </w:r>
    </w:p>
    <w:p>
      <w:pPr>
        <w:spacing w:after="0"/>
        <w:ind w:firstLine="0"/>
        <w:jc w:val="center"/>
      </w:pPr>
      <w:r>
        <w:rPr>
          <w:rFonts w:ascii="Microsoft YaHei" w:cs="Microsoft YaHei" w:eastAsia="Microsoft YaHei" w:hAnsi="Microsoft YaHei"/>
          <w:color w:val="666666"/>
          <w:sz w:val="24"/>
          <w:szCs w:val="24"/>
        </w:rPr>
        <w:t xml:space="preserve">2017年1月22日生效 / 2018年12月29日补充1生效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前言</w:t>
      </w:r>
    </w:p>
    <w:p>
      <w:pPr>
        <w:spacing w:after="0" w:line="360" w:lineRule="auto"/>
        <w:ind w:firstLine="480"/>
        <w:jc w:val="both"/>
      </w:pPr>
      <w:r>
        <w:rPr>
          <w:rFonts w:ascii="Microsoft YaHei" w:cs="Microsoft YaHei" w:eastAsia="Microsoft YaHei" w:hAnsi="Microsoft YaHei"/>
          <w:sz w:val="24"/>
          <w:szCs w:val="24"/>
        </w:rPr>
        <w:t xml:space="preserve">本法规是根据1958年《关于采用统一技术规范的协议》(修订版)制定的，旨在统一各成员国对乘用车电子稳定控制系统(ESC)的技术要求，促进国际间认证互认。</w:t>
      </w:r>
    </w:p>
    <w:p>
      <w:pPr>
        <w:spacing w:after="0" w:line="360" w:lineRule="auto"/>
        <w:ind w:firstLine="480"/>
        <w:jc w:val="both"/>
      </w:pPr>
      <w:r>
        <w:rPr>
          <w:rFonts w:ascii="Microsoft YaHei" w:cs="Microsoft YaHei" w:eastAsia="Microsoft YaHei" w:hAnsi="Microsoft YaHei"/>
          <w:sz w:val="24"/>
          <w:szCs w:val="24"/>
        </w:rPr>
        <w:t xml:space="preserve">本法规原文为ECE/TRANS/WP.29/2016/62，具有法律效力。本中文译本仅供参考，如与原文有出入，以联合国官方英文文本为准。</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第一章 适用范围</w:t>
      </w:r>
    </w:p>
    <w:p>
      <w:pPr>
        <w:spacing w:after="0" w:line="360" w:lineRule="auto"/>
        <w:ind w:firstLine="480"/>
        <w:jc w:val="both"/>
      </w:pPr>
      <w:r>
        <w:rPr>
          <w:rFonts w:ascii="Microsoft YaHei" w:cs="Microsoft YaHei" w:eastAsia="Microsoft YaHei" w:hAnsi="Microsoft YaHei"/>
          <w:sz w:val="24"/>
          <w:szCs w:val="24"/>
        </w:rPr>
        <w:t xml:space="preserve">1.1 本法规适用于M1类和N1类车辆电子稳定控制系统(ESC)的批准。</w:t>
      </w:r>
    </w:p>
    <w:p>
      <w:pPr>
        <w:spacing w:after="0" w:line="360" w:lineRule="auto"/>
        <w:ind w:firstLine="480"/>
        <w:jc w:val="both"/>
      </w:pPr>
      <w:r>
        <w:rPr>
          <w:rFonts w:ascii="Microsoft YaHei" w:cs="Microsoft YaHei" w:eastAsia="Microsoft YaHei" w:hAnsi="Microsoft YaHei"/>
          <w:sz w:val="24"/>
          <w:szCs w:val="24"/>
        </w:rPr>
        <w:t xml:space="preserve">1.2 本法规不适用于以下车辆：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设计时速不超过25km/h的车辆；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为残疾驾驶员配备的车辆。</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第二章 定义</w:t>
      </w:r>
    </w:p>
    <w:p>
      <w:pPr>
        <w:pStyle w:val="Heading2"/>
        <w:spacing w:after="120" w:before="360"/>
        <w:ind w:left="0" w:firstLine="0"/>
      </w:pPr>
      <w:r>
        <w:rPr>
          <w:rFonts w:ascii="Microsoft YaHei" w:cs="Microsoft YaHei" w:eastAsia="Microsoft YaHei" w:hAnsi="Microsoft YaHei"/>
          <w:b/>
          <w:bCs/>
          <w:color w:val="2F5496"/>
          <w:sz w:val="30"/>
          <w:szCs w:val="30"/>
        </w:rPr>
        <w:t xml:space="preserve">2.1 车辆类型</w:t>
      </w:r>
    </w:p>
    <w:p>
      <w:pPr>
        <w:spacing w:after="0" w:line="360" w:lineRule="auto"/>
        <w:ind w:firstLine="480"/>
        <w:jc w:val="both"/>
      </w:pPr>
      <w:r>
        <w:rPr>
          <w:rFonts w:ascii="Microsoft YaHei" w:cs="Microsoft YaHei" w:eastAsia="Microsoft YaHei" w:hAnsi="Microsoft YaHei"/>
          <w:sz w:val="24"/>
          <w:szCs w:val="24"/>
        </w:rPr>
        <w:t xml:space="preserve">"车辆类型(Vehicle type)"是指在以下基本方面没有区别的一类车辆：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制造商的名称或商标；</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严重影响电子稳定控制系统性能的车辆特征（例如最大质量、重心位置、轮距、轴距、轮胎尺寸和制动系统的设计）；</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(c) 电子稳定控制系统的设计。</w:t>
      </w:r>
    </w:p>
    <w:p>
      <w:pPr>
        <w:pStyle w:val="Heading2"/>
        <w:spacing w:after="120" w:before="360"/>
        <w:ind w:left="0" w:firstLine="0"/>
      </w:pPr>
      <w:r>
        <w:rPr>
          <w:rFonts w:ascii="Microsoft YaHei" w:cs="Microsoft YaHei" w:eastAsia="Microsoft YaHei" w:hAnsi="Microsoft YaHei"/>
          <w:b/>
          <w:bCs/>
          <w:color w:val="2F5496"/>
          <w:sz w:val="30"/>
          <w:szCs w:val="30"/>
        </w:rPr>
        <w:t xml:space="preserve">2.2 最大质量</w:t>
      </w:r>
    </w:p>
    <w:p>
      <w:pPr>
        <w:spacing w:after="0" w:line="360" w:lineRule="auto"/>
        <w:ind w:firstLine="480"/>
        <w:jc w:val="both"/>
      </w:pPr>
      <w:r>
        <w:rPr>
          <w:rFonts w:ascii="Microsoft YaHei" w:cs="Microsoft YaHei" w:eastAsia="Microsoft YaHei" w:hAnsi="Microsoft YaHei"/>
          <w:sz w:val="24"/>
          <w:szCs w:val="24"/>
        </w:rPr>
        <w:t xml:space="preserve">"最大质量(Maximum mass)"是指车辆制造商声明的技术允许的最大质量（该质量可能高于国家行政部门规定的"允许的最大质量"）。</w:t>
      </w:r>
    </w:p>
    <w:p>
      <w:pPr>
        <w:pStyle w:val="Heading2"/>
        <w:spacing w:after="120" w:before="360"/>
        <w:ind w:left="0" w:firstLine="0"/>
      </w:pPr>
      <w:r>
        <w:rPr>
          <w:rFonts w:ascii="Microsoft YaHei" w:cs="Microsoft YaHei" w:eastAsia="Microsoft YaHei" w:hAnsi="Microsoft YaHei"/>
          <w:b/>
          <w:bCs/>
          <w:color w:val="2F5496"/>
          <w:sz w:val="30"/>
          <w:szCs w:val="30"/>
        </w:rPr>
        <w:t xml:space="preserve">2.3 车轴之间的质量分布</w:t>
      </w:r>
    </w:p>
    <w:p>
      <w:pPr>
        <w:spacing w:after="0" w:line="360" w:lineRule="auto"/>
        <w:ind w:firstLine="480"/>
        <w:jc w:val="both"/>
      </w:pPr>
      <w:r>
        <w:rPr>
          <w:rFonts w:ascii="Microsoft YaHei" w:cs="Microsoft YaHei" w:eastAsia="Microsoft YaHei" w:hAnsi="Microsoft YaHei"/>
          <w:sz w:val="24"/>
          <w:szCs w:val="24"/>
        </w:rPr>
        <w:t xml:space="preserve">"车轴之间的质量分布(The distribution of mass among the axles)"是指车辆质量和/或其内部物的重力影响在车轴之间的分布。</w:t>
      </w:r>
    </w:p>
    <w:p>
      <w:pPr>
        <w:pStyle w:val="Heading2"/>
        <w:spacing w:after="120" w:before="360"/>
        <w:ind w:left="0" w:firstLine="0"/>
      </w:pPr>
      <w:r>
        <w:rPr>
          <w:rFonts w:ascii="Microsoft YaHei" w:cs="Microsoft YaHei" w:eastAsia="Microsoft YaHei" w:hAnsi="Microsoft YaHei"/>
          <w:b/>
          <w:bCs/>
          <w:color w:val="2F5496"/>
          <w:sz w:val="30"/>
          <w:szCs w:val="30"/>
        </w:rPr>
        <w:t xml:space="preserve">2.4 车轮/车轴载荷</w:t>
      </w:r>
    </w:p>
    <w:p>
      <w:pPr>
        <w:spacing w:after="0" w:line="360" w:lineRule="auto"/>
        <w:ind w:firstLine="480"/>
        <w:jc w:val="both"/>
      </w:pPr>
      <w:r>
        <w:rPr>
          <w:rFonts w:ascii="Microsoft YaHei" w:cs="Microsoft YaHei" w:eastAsia="Microsoft YaHei" w:hAnsi="Microsoft YaHei"/>
          <w:sz w:val="24"/>
          <w:szCs w:val="24"/>
        </w:rPr>
        <w:t xml:space="preserve">"车轮/车轴载荷(Wheel/axle load)"是指路面在（车轴上的）车轮接触区域的垂直静反力。</w:t>
      </w:r>
    </w:p>
    <w:p>
      <w:pPr>
        <w:pStyle w:val="Heading2"/>
        <w:spacing w:after="120" w:before="360"/>
        <w:ind w:left="0" w:firstLine="0"/>
      </w:pPr>
      <w:r>
        <w:rPr>
          <w:rFonts w:ascii="Microsoft YaHei" w:cs="Microsoft YaHei" w:eastAsia="Microsoft YaHei" w:hAnsi="Microsoft YaHei"/>
          <w:b/>
          <w:bCs/>
          <w:color w:val="2F5496"/>
          <w:sz w:val="30"/>
          <w:szCs w:val="30"/>
        </w:rPr>
        <w:t xml:space="preserve">2.5 阿克曼转角</w:t>
      </w:r>
    </w:p>
    <w:p>
      <w:pPr>
        <w:spacing w:after="0" w:line="360" w:lineRule="auto"/>
        <w:ind w:firstLine="480"/>
        <w:jc w:val="both"/>
      </w:pPr>
      <w:r>
        <w:rPr>
          <w:rFonts w:ascii="Microsoft YaHei" w:cs="Microsoft YaHei" w:eastAsia="Microsoft YaHei" w:hAnsi="Microsoft YaHei"/>
          <w:sz w:val="24"/>
          <w:szCs w:val="24"/>
        </w:rPr>
        <w:t xml:space="preserve">"阿克曼转角(Ackerman steer angle)"是指车转向时两个转向轮之间形成的夹角。由于转向系统形状的几何特性，使车辆转向时内侧轮比外侧轮转动更多的角度。内侧轮（相对弯心而言）通常会比外侧轮要转的角度大一些。加大转向角度时，这个夹角也会相应变大。</w:t>
      </w:r>
    </w:p>
    <w:p>
      <w:pPr>
        <w:pStyle w:val="Heading2"/>
        <w:spacing w:after="120" w:before="360"/>
        <w:ind w:left="0" w:firstLine="0"/>
      </w:pPr>
      <w:r>
        <w:rPr>
          <w:rFonts w:ascii="Microsoft YaHei" w:cs="Microsoft YaHei" w:eastAsia="Microsoft YaHei" w:hAnsi="Microsoft YaHei"/>
          <w:b/>
          <w:bCs/>
          <w:color w:val="2F5496"/>
          <w:sz w:val="30"/>
          <w:szCs w:val="30"/>
        </w:rPr>
        <w:t xml:space="preserve">2.6 电子稳定控制系统(ESC)</w:t>
      </w:r>
    </w:p>
    <w:p>
      <w:pPr>
        <w:spacing w:after="0" w:line="360" w:lineRule="auto"/>
        <w:ind w:firstLine="480"/>
        <w:jc w:val="both"/>
      </w:pPr>
      <w:r>
        <w:rPr>
          <w:rFonts w:ascii="Microsoft YaHei" w:cs="Microsoft YaHei" w:eastAsia="Microsoft YaHei" w:hAnsi="Microsoft YaHei"/>
          <w:sz w:val="24"/>
          <w:szCs w:val="24"/>
        </w:rPr>
        <w:t xml:space="preserve">"电子稳定控制系统(ESC)"是指具有以下所有属性的系统：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通过至少能够自动控制每个轴上左右车轮的制动扭矩，根据对实际车辆行为的评估，与对驾驶员要求的车辆行为的确定进行比较，产生纠正偏航力矩，从而提高车辆的方向稳定性；</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由计算机控制，使用闭环算法限制车辆过度转向，并根据对实际车辆行为的评估，与司机要求的车辆行为的确定进行比较，限制车辆转向不足；</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(c) 有办法直接确定车辆横摆角速度(yaw rate)的值，并估计其侧滑或侧滑率；</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(d) 具备监测驾驶员转向输入的手段；</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(e) 具有确定需求的算法和必要时修改推进扭矩的手段，以帮助驾驶员保持对车辆的控制。</w:t>
      </w:r>
    </w:p>
    <w:p>
      <w:pPr>
        <w:pStyle w:val="Heading2"/>
        <w:spacing w:after="120" w:before="360"/>
        <w:ind w:left="0" w:firstLine="0"/>
      </w:pPr>
      <w:r>
        <w:rPr>
          <w:rFonts w:ascii="Microsoft YaHei" w:cs="Microsoft YaHei" w:eastAsia="Microsoft YaHei" w:hAnsi="Microsoft YaHei"/>
          <w:b/>
          <w:bCs/>
          <w:color w:val="2F5496"/>
          <w:sz w:val="30"/>
          <w:szCs w:val="30"/>
        </w:rPr>
        <w:t xml:space="preserve">2.7 横向加速度</w:t>
      </w:r>
    </w:p>
    <w:p>
      <w:pPr>
        <w:spacing w:after="0" w:line="360" w:lineRule="auto"/>
        <w:ind w:firstLine="480"/>
        <w:jc w:val="both"/>
      </w:pPr>
      <w:r>
        <w:rPr>
          <w:rFonts w:ascii="Microsoft YaHei" w:cs="Microsoft YaHei" w:eastAsia="Microsoft YaHei" w:hAnsi="Microsoft YaHei"/>
          <w:sz w:val="24"/>
          <w:szCs w:val="24"/>
        </w:rPr>
        <w:t xml:space="preserve">"横向加速度(Lateral acceleration)"是指车辆中垂直于车辆x轴（纵向）并平行于道路平面的加速度矢量的分量。</w:t>
      </w:r>
    </w:p>
    <w:p>
      <w:pPr>
        <w:pStyle w:val="Heading2"/>
        <w:spacing w:after="120" w:before="360"/>
        <w:ind w:left="0" w:firstLine="0"/>
      </w:pPr>
      <w:r>
        <w:rPr>
          <w:rFonts w:ascii="Microsoft YaHei" w:cs="Microsoft YaHei" w:eastAsia="Microsoft YaHei" w:hAnsi="Microsoft YaHei"/>
          <w:b/>
          <w:bCs/>
          <w:color w:val="2F5496"/>
          <w:sz w:val="30"/>
          <w:szCs w:val="30"/>
        </w:rPr>
        <w:t xml:space="preserve">2.8 过度转向</w:t>
      </w:r>
    </w:p>
    <w:p>
      <w:pPr>
        <w:spacing w:after="0" w:line="360" w:lineRule="auto"/>
        <w:ind w:firstLine="480"/>
        <w:jc w:val="both"/>
      </w:pPr>
      <w:r>
        <w:rPr>
          <w:rFonts w:ascii="Microsoft YaHei" w:cs="Microsoft YaHei" w:eastAsia="Microsoft YaHei" w:hAnsi="Microsoft YaHei"/>
          <w:sz w:val="24"/>
          <w:szCs w:val="24"/>
        </w:rPr>
        <w:t xml:space="preserve">"过度转向(Over steer)"是指车辆横摆率大于由阿克曼转角在车辆速度下导致的横摆率的情况。</w:t>
      </w:r>
    </w:p>
    <w:p>
      <w:pPr>
        <w:pStyle w:val="Heading2"/>
        <w:spacing w:after="120" w:before="360"/>
        <w:ind w:left="0" w:firstLine="0"/>
      </w:pPr>
      <w:r>
        <w:rPr>
          <w:rFonts w:ascii="Microsoft YaHei" w:cs="Microsoft YaHei" w:eastAsia="Microsoft YaHei" w:hAnsi="Microsoft YaHei"/>
          <w:b/>
          <w:bCs/>
          <w:color w:val="2F5496"/>
          <w:sz w:val="30"/>
          <w:szCs w:val="30"/>
        </w:rPr>
        <w:t xml:space="preserve">2.9 侧滑或侧滑角</w:t>
      </w:r>
    </w:p>
    <w:p>
      <w:pPr>
        <w:spacing w:after="0" w:line="360" w:lineRule="auto"/>
        <w:ind w:firstLine="480"/>
        <w:jc w:val="both"/>
      </w:pPr>
      <w:r>
        <w:rPr>
          <w:rFonts w:ascii="Microsoft YaHei" w:cs="Microsoft YaHei" w:eastAsia="Microsoft YaHei" w:hAnsi="Microsoft YaHei"/>
          <w:sz w:val="24"/>
          <w:szCs w:val="24"/>
        </w:rPr>
        <w:t xml:space="preserve">"侧滑或侧滑角(Side-slip or side-slip angle)"是指车辆重心位置横向速度与纵向速度之比的反正切。</w:t>
      </w:r>
    </w:p>
    <w:p>
      <w:pPr>
        <w:pStyle w:val="Heading2"/>
        <w:spacing w:after="120" w:before="360"/>
        <w:ind w:left="0" w:firstLine="0"/>
      </w:pPr>
      <w:r>
        <w:rPr>
          <w:rFonts w:ascii="Microsoft YaHei" w:cs="Microsoft YaHei" w:eastAsia="Microsoft YaHei" w:hAnsi="Microsoft YaHei"/>
          <w:b/>
          <w:bCs/>
          <w:color w:val="2F5496"/>
          <w:sz w:val="30"/>
          <w:szCs w:val="30"/>
        </w:rPr>
        <w:t xml:space="preserve">2.10 转向不足</w:t>
      </w:r>
    </w:p>
    <w:p>
      <w:pPr>
        <w:spacing w:after="0" w:line="360" w:lineRule="auto"/>
        <w:ind w:firstLine="480"/>
        <w:jc w:val="both"/>
      </w:pPr>
      <w:r>
        <w:rPr>
          <w:rFonts w:ascii="Microsoft YaHei" w:cs="Microsoft YaHei" w:eastAsia="Microsoft YaHei" w:hAnsi="Microsoft YaHei"/>
          <w:sz w:val="24"/>
          <w:szCs w:val="24"/>
        </w:rPr>
        <w:t xml:space="preserve">"转向不足(Under steer)"是指车辆横摆率小于由阿克曼转角在车辆速度下导致的横摆率的情况。</w:t>
      </w:r>
    </w:p>
    <w:p>
      <w:pPr>
        <w:pStyle w:val="Heading2"/>
        <w:spacing w:after="120" w:before="360"/>
        <w:ind w:left="0" w:firstLine="0"/>
      </w:pPr>
      <w:r>
        <w:rPr>
          <w:rFonts w:ascii="Microsoft YaHei" w:cs="Microsoft YaHei" w:eastAsia="Microsoft YaHei" w:hAnsi="Microsoft YaHei"/>
          <w:b/>
          <w:bCs/>
          <w:color w:val="2F5496"/>
          <w:sz w:val="30"/>
          <w:szCs w:val="30"/>
        </w:rPr>
        <w:t xml:space="preserve">2.11 横摆角速度</w:t>
      </w:r>
    </w:p>
    <w:p>
      <w:pPr>
        <w:spacing w:after="0" w:line="360" w:lineRule="auto"/>
        <w:ind w:firstLine="480"/>
        <w:jc w:val="both"/>
      </w:pPr>
      <w:r>
        <w:rPr>
          <w:rFonts w:ascii="Microsoft YaHei" w:cs="Microsoft YaHei" w:eastAsia="Microsoft YaHei" w:hAnsi="Microsoft YaHei"/>
          <w:sz w:val="24"/>
          <w:szCs w:val="24"/>
        </w:rPr>
        <w:t xml:space="preserve">"横摆角速度(Yaw rate)"是指车辆朝向角的变化率，以绕通过车辆重心的垂直轴旋转的°/s为单位。</w:t>
      </w:r>
    </w:p>
    <w:p>
      <w:pPr>
        <w:pStyle w:val="Heading2"/>
        <w:spacing w:after="120" w:before="360"/>
        <w:ind w:left="0" w:firstLine="0"/>
      </w:pPr>
      <w:r>
        <w:rPr>
          <w:rFonts w:ascii="Microsoft YaHei" w:cs="Microsoft YaHei" w:eastAsia="Microsoft YaHei" w:hAnsi="Microsoft YaHei"/>
          <w:b/>
          <w:bCs/>
          <w:color w:val="2F5496"/>
          <w:sz w:val="30"/>
          <w:szCs w:val="30"/>
        </w:rPr>
        <w:t xml:space="preserve">2.12 峰值制动系数</w:t>
      </w:r>
    </w:p>
    <w:p>
      <w:pPr>
        <w:spacing w:after="0" w:line="360" w:lineRule="auto"/>
        <w:ind w:firstLine="480"/>
        <w:jc w:val="both"/>
      </w:pPr>
      <w:r>
        <w:rPr>
          <w:rFonts w:ascii="Microsoft YaHei" w:cs="Microsoft YaHei" w:eastAsia="Microsoft YaHei" w:hAnsi="Microsoft YaHei"/>
          <w:sz w:val="24"/>
          <w:szCs w:val="24"/>
        </w:rPr>
        <w:t xml:space="preserve">"峰值制动系数(Peak braking coefficient, PBC)"指根据滚动轮胎的最大减速测量轮胎与路面摩擦。</w:t>
      </w:r>
    </w:p>
    <w:p>
      <w:pPr>
        <w:pStyle w:val="Heading2"/>
        <w:spacing w:after="120" w:before="360"/>
        <w:ind w:left="0" w:firstLine="0"/>
      </w:pPr>
      <w:r>
        <w:rPr>
          <w:rFonts w:ascii="Microsoft YaHei" w:cs="Microsoft YaHei" w:eastAsia="Microsoft YaHei" w:hAnsi="Microsoft YaHei"/>
          <w:b/>
          <w:bCs/>
          <w:color w:val="2F5496"/>
          <w:sz w:val="30"/>
          <w:szCs w:val="30"/>
        </w:rPr>
        <w:t xml:space="preserve">2.13 静态稳定系数</w:t>
      </w:r>
    </w:p>
    <w:p>
      <w:pPr>
        <w:spacing w:after="0" w:line="360" w:lineRule="auto"/>
        <w:ind w:firstLine="480"/>
        <w:jc w:val="both"/>
      </w:pPr>
      <w:r>
        <w:rPr>
          <w:rFonts w:ascii="Microsoft YaHei" w:cs="Microsoft YaHei" w:eastAsia="Microsoft YaHei" w:hAnsi="Microsoft YaHei"/>
          <w:sz w:val="24"/>
          <w:szCs w:val="24"/>
        </w:rPr>
        <w:t xml:space="preserve">"静态稳定系数(Static stability Factor, SSF)"是指车辆轮距除以其重心高度的一半，也表示为SSF=T/2H。其中T=轮距（对于具有多个轮距的车辆，使用平均值；对于双轮车轴，在计算T时使用外轮）；H=车辆重心高度。</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第三章 一般要求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3.1 功能要求</w:t>
      </w:r>
    </w:p>
    <w:p>
      <w:pPr>
        <w:spacing w:after="0" w:line="360" w:lineRule="auto"/>
        <w:ind w:firstLine="480"/>
        <w:jc w:val="both"/>
      </w:pPr>
      <w:r>
        <w:rPr>
          <w:rFonts w:ascii="Microsoft YaHei" w:cs="Microsoft YaHei" w:eastAsia="Microsoft YaHei" w:hAnsi="Microsoft YaHei"/>
          <w:sz w:val="24"/>
          <w:szCs w:val="24"/>
        </w:rPr>
        <w:t xml:space="preserve">3.1.1 配备ESC的车辆应在本法规第5部分规定的测试程序和第4部分规定的测试条件下满足功能要求和性能要求。</w:t>
      </w:r>
    </w:p>
    <w:p>
      <w:pPr>
        <w:spacing w:after="0" w:line="360" w:lineRule="auto"/>
        <w:ind w:firstLine="480"/>
        <w:jc w:val="both"/>
      </w:pPr>
      <w:r>
        <w:rPr>
          <w:rFonts w:ascii="Microsoft YaHei" w:cs="Microsoft YaHei" w:eastAsia="Microsoft YaHei" w:hAnsi="Microsoft YaHei"/>
          <w:sz w:val="24"/>
          <w:szCs w:val="24"/>
        </w:rPr>
        <w:t xml:space="preserve">3.1.1.1 作为替代办法，行驶质量超过1735kg的M1和N1类车辆可配备车辆稳定功能，包括翻滚控制和方向控制，并符合R13法规附件21的技术要求和过渡规定。这些车辆不需要满足3.1.1的要求。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3.2 振动要求</w:t>
      </w:r>
    </w:p>
    <w:p>
      <w:pPr>
        <w:spacing w:after="0" w:line="360" w:lineRule="auto"/>
        <w:ind w:firstLine="480"/>
        <w:jc w:val="both"/>
      </w:pPr>
      <w:r>
        <w:rPr>
          <w:rFonts w:ascii="Microsoft YaHei" w:cs="Microsoft YaHei" w:eastAsia="Microsoft YaHei" w:hAnsi="Microsoft YaHei"/>
          <w:sz w:val="24"/>
          <w:szCs w:val="24"/>
        </w:rPr>
        <w:t xml:space="preserve">ESC的设计、构造和安装应使车辆在正常使用时，尽管可能受到振动，仍能符合本法规的规定。</w:t>
      </w:r>
    </w:p>
    <w:p>
      <w:pPr>
        <w:pStyle w:val="Heading2"/>
        <w:spacing w:after="120" w:before="360"/>
        <w:ind w:left="0" w:firstLine="0"/>
      </w:pPr>
      <w:r>
        <w:rPr>
          <w:rFonts w:ascii="Microsoft YaHei" w:cs="Microsoft YaHei" w:eastAsia="Microsoft YaHei" w:hAnsi="Microsoft YaHei"/>
          <w:b/>
          <w:bCs/>
          <w:color w:val="2F5496"/>
          <w:sz w:val="30"/>
          <w:szCs w:val="30"/>
        </w:rPr>
        <w:t xml:space="preserve">3.3 腐蚀老化要求</w:t>
      </w:r>
    </w:p>
    <w:p>
      <w:pPr>
        <w:spacing w:after="0" w:line="360" w:lineRule="auto"/>
        <w:ind w:firstLine="480"/>
        <w:jc w:val="both"/>
      </w:pPr>
      <w:r>
        <w:rPr>
          <w:rFonts w:ascii="Microsoft YaHei" w:cs="Microsoft YaHei" w:eastAsia="Microsoft YaHei" w:hAnsi="Microsoft YaHei"/>
          <w:sz w:val="24"/>
          <w:szCs w:val="24"/>
        </w:rPr>
        <w:t xml:space="preserve">ESC的设计、构造和安装应能抵抗其暴露的腐蚀和老化现象。</w:t>
      </w:r>
    </w:p>
    <w:p>
      <w:pPr>
        <w:pStyle w:val="Heading2"/>
        <w:spacing w:after="120" w:before="360"/>
        <w:ind w:left="0" w:firstLine="0"/>
      </w:pPr>
      <w:r>
        <w:rPr>
          <w:rFonts w:ascii="Microsoft YaHei" w:cs="Microsoft YaHei" w:eastAsia="Microsoft YaHei" w:hAnsi="Microsoft YaHei"/>
          <w:b/>
          <w:bCs/>
          <w:color w:val="2F5496"/>
          <w:sz w:val="30"/>
          <w:szCs w:val="30"/>
        </w:rPr>
        <w:t xml:space="preserve">3.4 电磁兼容要求</w:t>
      </w:r>
    </w:p>
    <w:p>
      <w:pPr>
        <w:spacing w:after="0" w:line="360" w:lineRule="auto"/>
        <w:ind w:firstLine="480"/>
        <w:jc w:val="both"/>
      </w:pPr>
      <w:r>
        <w:rPr>
          <w:rFonts w:ascii="Microsoft YaHei" w:cs="Microsoft YaHei" w:eastAsia="Microsoft YaHei" w:hAnsi="Microsoft YaHei"/>
          <w:sz w:val="24"/>
          <w:szCs w:val="24"/>
        </w:rPr>
        <w:t xml:space="preserve">ESC的有效性不应受到磁场或电场的不利影响。这应通过满足技术要求和符合UNECE R10-EMC法规的规定来证明：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R10.03系列修正案，适用于没有可充电储能系统REESS（动力电池）的车辆；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R10.04系列修正案，适用于带有可充电储能系统REESS（动力电池）的车辆。</w:t>
      </w:r>
    </w:p>
    <w:p>
      <w:pPr>
        <w:pStyle w:val="Heading2"/>
        <w:spacing w:after="120" w:before="360"/>
        <w:ind w:left="0" w:firstLine="0"/>
      </w:pPr>
      <w:r>
        <w:rPr>
          <w:rFonts w:ascii="Microsoft YaHei" w:cs="Microsoft YaHei" w:eastAsia="Microsoft YaHei" w:hAnsi="Microsoft YaHei"/>
          <w:b/>
          <w:bCs/>
          <w:color w:val="2F5496"/>
          <w:sz w:val="30"/>
          <w:szCs w:val="30"/>
        </w:rPr>
        <w:t xml:space="preserve">3.5 安全评估要求</w:t>
      </w:r>
    </w:p>
    <w:p>
      <w:pPr>
        <w:spacing w:after="0" w:line="360" w:lineRule="auto"/>
        <w:ind w:firstLine="480"/>
        <w:jc w:val="both"/>
      </w:pPr>
      <w:r>
        <w:rPr>
          <w:rFonts w:ascii="Microsoft YaHei" w:cs="Microsoft YaHei" w:eastAsia="Microsoft YaHei" w:hAnsi="Microsoft YaHei"/>
          <w:sz w:val="24"/>
          <w:szCs w:val="24"/>
        </w:rPr>
        <w:t xml:space="preserve">根据与复杂电子控制系统相关的R13-H法规要求，ESC安全方面的评估应包括在制动系统的整体安全评估中，以评估其对制动系统的直接影响。在提交包括ESC系统的R13-H法规证书后，这被视为已完成。</w:t>
      </w:r>
    </w:p>
    <w:p>
      <w:pPr>
        <w:pStyle w:val="Heading2"/>
        <w:spacing w:after="120" w:before="360"/>
        <w:ind w:left="0" w:firstLine="0"/>
      </w:pPr>
      <w:r>
        <w:rPr>
          <w:rFonts w:ascii="Microsoft YaHei" w:cs="Microsoft YaHei" w:eastAsia="Microsoft YaHei" w:hAnsi="Microsoft YaHei"/>
          <w:b/>
          <w:bCs/>
          <w:color w:val="2F5496"/>
          <w:sz w:val="30"/>
          <w:szCs w:val="30"/>
        </w:rPr>
        <w:t xml:space="preserve">3.6 定期技术检查规定</w:t>
      </w:r>
    </w:p>
    <w:p>
      <w:pPr>
        <w:spacing w:after="0" w:line="360" w:lineRule="auto"/>
        <w:ind w:firstLine="480"/>
        <w:jc w:val="both"/>
      </w:pPr>
      <w:r>
        <w:rPr>
          <w:rFonts w:ascii="Microsoft YaHei" w:cs="Microsoft YaHei" w:eastAsia="Microsoft YaHei" w:hAnsi="Microsoft YaHei"/>
          <w:sz w:val="24"/>
          <w:szCs w:val="24"/>
        </w:rPr>
        <w:t xml:space="preserve">ESC系统定期技术检查规定：</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在定期技术检查中，应可以在通电后通过目视观察警告信号来确认正确的运行状态；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在型式认证时，应保密地概述为防止对警告信号的操作进行简单的未经授权的修改而实施的方法。或者，当有检查正确操作状态的辅助手段可用时（有系统自检时），就满足了这一保护要求。</w:t>
      </w:r>
    </w:p>
    <w:p>
      <w:pPr>
        <w:pStyle w:val="Heading1"/>
        <w:spacing w:after="240" w:before="480"/>
        <w:ind w:left="0" w:firstLine="0"/>
      </w:pPr>
      <w:r>
        <w:rPr>
          <w:rFonts w:ascii="Microsoft YaHei" w:cs="Microsoft YaHei" w:eastAsia="Microsoft YaHei" w:hAnsi="Microsoft YaHei"/>
          <w:b/>
          <w:bCs/>
          <w:color w:val="2F5496"/>
          <w:sz w:val="36"/>
          <w:szCs w:val="36"/>
        </w:rPr>
        <w:t xml:space="preserve">第四章 功能要求</w:t>
      </w:r>
    </w:p>
    <w:p>
      <w:pPr>
        <w:spacing w:after="0" w:line="360" w:lineRule="auto"/>
        <w:ind w:firstLine="480"/>
        <w:jc w:val="both"/>
      </w:pPr>
      <w:r>
        <w:rPr>
          <w:rFonts w:ascii="Microsoft YaHei" w:cs="Microsoft YaHei" w:eastAsia="Microsoft YaHei" w:hAnsi="Microsoft YaHei"/>
          <w:sz w:val="24"/>
          <w:szCs w:val="24"/>
        </w:rPr>
        <w:t xml:space="preserve">根据本法规提交审批的每辆车都应配备电子稳定控制(ESC)系统，该系统应：</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能够将制动力矩单独施加到所有四个车轮，并具有利用这种能力的控制算法；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在车辆的全速度范围内运行，包括加速、滑行和减速（包括制动），但以下情况除外：驾驶员已停用ESC时；车速低于20km/h时；在完成初始启动自检和合理性检查时，在规定条件下驾驶不超过2分钟；车辆倒车行驶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(c) 即使制动防抱死系统ABS或牵引力控制系统TCS也被激活，仍然能够激活。</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第五章 性能要求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5.1 正弦驻留转向测试</w:t>
      </w:r>
    </w:p>
    <w:p>
      <w:pPr>
        <w:spacing w:after="0" w:line="360" w:lineRule="auto"/>
        <w:ind w:firstLine="480"/>
        <w:jc w:val="both"/>
      </w:pPr>
      <w:r>
        <w:rPr>
          <w:rFonts w:ascii="Microsoft YaHei" w:cs="Microsoft YaHei" w:eastAsia="Microsoft YaHei" w:hAnsi="Microsoft YaHei"/>
          <w:sz w:val="24"/>
          <w:szCs w:val="24"/>
        </w:rPr>
        <w:t xml:space="preserve">车辆应通过正弦驻留转向测试(Sine with Dwell Test)验证ESC系统性能。测试要求如下：</w:t>
      </w:r>
    </w:p>
    <w:p>
      <w:pPr>
        <w:pStyle w:val="Heading3"/>
        <w:spacing w:after="80" w:before="240"/>
        <w:ind w:left="0" w:firstLine="0"/>
      </w:pPr>
      <w:r>
        <w:rPr>
          <w:rFonts w:ascii="Microsoft YaHei" w:cs="Microsoft YaHei" w:eastAsia="Microsoft YaHei" w:hAnsi="Microsoft YaHei"/>
          <w:b/>
          <w:bCs/>
          <w:color w:val="2F5496"/>
          <w:sz w:val="26"/>
          <w:szCs w:val="26"/>
        </w:rPr>
        <w:t xml:space="preserve">5.1.1 横摆率要求</w:t>
      </w:r>
    </w:p>
    <w:p>
      <w:pPr>
        <w:spacing w:after="0" w:line="360" w:lineRule="auto"/>
        <w:ind w:firstLine="480"/>
        <w:jc w:val="both"/>
      </w:pPr>
      <w:r>
        <w:rPr>
          <w:rFonts w:ascii="Microsoft YaHei" w:cs="Microsoft YaHei" w:eastAsia="Microsoft YaHei" w:hAnsi="Microsoft YaHei"/>
          <w:sz w:val="24"/>
          <w:szCs w:val="24"/>
        </w:rPr>
        <w:t xml:space="preserve">横摆率在转向结束后1秒内(COS+1S)不大于第二峰值的35%。</w:t>
      </w:r>
    </w:p>
    <w:p>
      <w:pPr>
        <w:spacing w:after="0" w:line="360" w:lineRule="auto"/>
        <w:ind w:firstLine="480"/>
        <w:jc w:val="both"/>
      </w:pPr>
      <w:r>
        <w:rPr>
          <w:rFonts w:ascii="Microsoft YaHei" w:cs="Microsoft YaHei" w:eastAsia="Microsoft YaHei" w:hAnsi="Microsoft YaHei"/>
          <w:sz w:val="24"/>
          <w:szCs w:val="24"/>
        </w:rPr>
        <w:t xml:space="preserve">横摆率在转向结束后1.75秒内(COS+1.75S)不大于第二峰值的20%。</w:t>
      </w:r>
    </w:p>
    <w:p>
      <w:pPr>
        <w:pStyle w:val="Heading3"/>
        <w:spacing w:after="80" w:before="240"/>
        <w:ind w:left="0" w:firstLine="0"/>
      </w:pPr>
      <w:r>
        <w:rPr>
          <w:rFonts w:ascii="Microsoft YaHei" w:cs="Microsoft YaHei" w:eastAsia="Microsoft YaHei" w:hAnsi="Microsoft YaHei"/>
          <w:b/>
          <w:bCs/>
          <w:color w:val="2F5496"/>
          <w:sz w:val="26"/>
          <w:szCs w:val="26"/>
        </w:rPr>
        <w:t xml:space="preserve">5.1.2 横向位移要求</w:t>
      </w:r>
    </w:p>
    <w:p>
      <w:pPr>
        <w:spacing w:after="0" w:line="360" w:lineRule="auto"/>
        <w:ind w:firstLine="480"/>
        <w:jc w:val="both"/>
      </w:pPr>
      <w:r>
        <w:rPr>
          <w:rFonts w:ascii="Microsoft YaHei" w:cs="Microsoft YaHei" w:eastAsia="Microsoft YaHei" w:hAnsi="Microsoft YaHei"/>
          <w:sz w:val="24"/>
          <w:szCs w:val="24"/>
        </w:rPr>
        <w:t xml:space="preserve">横向位移在转向开始后1.07秒(COS+1.07S)应满足：</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质量小于或等于3500kg的车辆：横向位移≥1.83m</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质量大于3500kg的车辆：横向位移≥1.52m</w:t>
      </w:r>
    </w:p>
    <w:p>
      <w:pPr>
        <w:pStyle w:val="Heading2"/>
        <w:spacing w:after="120" w:before="360"/>
        <w:ind w:left="0" w:firstLine="0"/>
      </w:pPr>
      <w:r>
        <w:rPr>
          <w:rFonts w:ascii="Microsoft YaHei" w:cs="Microsoft YaHei" w:eastAsia="Microsoft YaHei" w:hAnsi="Microsoft YaHei"/>
          <w:b/>
          <w:bCs/>
          <w:color w:val="2F5496"/>
          <w:sz w:val="30"/>
          <w:szCs w:val="30"/>
        </w:rPr>
        <w:t xml:space="preserve">5.2 外防滚架要求</w:t>
      </w:r>
    </w:p>
    <w:p>
      <w:pPr>
        <w:spacing w:after="0" w:line="360" w:lineRule="auto"/>
        <w:ind w:firstLine="480"/>
        <w:jc w:val="both"/>
      </w:pPr>
      <w:r>
        <w:rPr>
          <w:rFonts w:ascii="Microsoft YaHei" w:cs="Microsoft YaHei" w:eastAsia="Microsoft YaHei" w:hAnsi="Microsoft YaHei"/>
          <w:sz w:val="24"/>
          <w:szCs w:val="24"/>
        </w:rPr>
        <w:t xml:space="preserve">对于静态稳定系数SSF较低的车辆（如SUV、皮卡等），使用外防滚架的情况，除满足上述三条之外，外防滚架不可触地，如果触地则是一票否决。</w:t>
      </w:r>
    </w:p>
    <w:p>
      <w:pPr>
        <w:pStyle w:val="Heading1"/>
        <w:spacing w:after="240" w:before="480"/>
        <w:ind w:left="0" w:firstLine="0"/>
      </w:pPr>
      <w:r>
        <w:rPr>
          <w:rFonts w:ascii="Microsoft YaHei" w:cs="Microsoft YaHei" w:eastAsia="Microsoft YaHei" w:hAnsi="Microsoft YaHei"/>
          <w:b/>
          <w:bCs/>
          <w:color w:val="2F5496"/>
          <w:sz w:val="36"/>
          <w:szCs w:val="36"/>
        </w:rPr>
        <w:t xml:space="preserve">第六章 测试条件</w:t>
      </w:r>
    </w:p>
    <w:p>
      <w:pPr>
        <w:pStyle w:val="Heading2"/>
        <w:spacing w:after="120" w:before="360"/>
        <w:ind w:left="0" w:firstLine="0"/>
      </w:pPr>
      <w:r>
        <w:rPr>
          <w:rFonts w:ascii="Microsoft YaHei" w:cs="Microsoft YaHei" w:eastAsia="Microsoft YaHei" w:hAnsi="Microsoft YaHei"/>
          <w:b/>
          <w:bCs/>
          <w:color w:val="2F5496"/>
          <w:sz w:val="30"/>
          <w:szCs w:val="30"/>
        </w:rPr>
        <w:t xml:space="preserve">6.1 测试环境</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温度：0°C ~ 45°C</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风速：SSF &gt;1.25时≤10 m/s，SSF ≤1.25时≤5 m/s</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路面：干燥、平整，峰值附着系数(PBC)=0.9</w:t>
      </w:r>
    </w:p>
    <w:p>
      <w:pPr>
        <w:pStyle w:val="Heading2"/>
        <w:spacing w:after="120" w:before="360"/>
        <w:ind w:left="0" w:firstLine="0"/>
      </w:pPr>
      <w:r>
        <w:rPr>
          <w:rFonts w:ascii="Microsoft YaHei" w:cs="Microsoft YaHei" w:eastAsia="Microsoft YaHei" w:hAnsi="Microsoft YaHei"/>
          <w:b/>
          <w:bCs/>
          <w:color w:val="2F5496"/>
          <w:sz w:val="30"/>
          <w:szCs w:val="30"/>
        </w:rPr>
        <w:t xml:space="preserve">6.2 车辆准备</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负载：驾驶员 + 59kg设备 + 压载物，总重168kg</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轮胎：按制造商推荐气压充气</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制动系统：正常工作状态，无故障码</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第七章 测试程序</w:t>
      </w:r>
    </w:p>
    <w:p>
      <w:pPr>
        <w:pStyle w:val="Heading2"/>
        <w:spacing w:after="120" w:before="360"/>
        <w:ind w:left="0" w:firstLine="0"/>
      </w:pPr>
      <w:r>
        <w:rPr>
          <w:rFonts w:ascii="Microsoft YaHei" w:cs="Microsoft YaHei" w:eastAsia="Microsoft YaHei" w:hAnsi="Microsoft YaHei"/>
          <w:b/>
          <w:bCs/>
          <w:color w:val="2F5496"/>
          <w:sz w:val="30"/>
          <w:szCs w:val="30"/>
        </w:rPr>
        <w:t xml:space="preserve">7.1 测试准备</w:t>
      </w:r>
    </w:p>
    <w:p>
      <w:pPr>
        <w:spacing w:after="0" w:line="360" w:lineRule="auto"/>
        <w:ind w:firstLine="480"/>
        <w:jc w:val="both"/>
      </w:pPr>
      <w:r>
        <w:rPr>
          <w:rFonts w:ascii="Microsoft YaHei" w:cs="Microsoft YaHei" w:eastAsia="Microsoft YaHei" w:hAnsi="Microsoft YaHei"/>
          <w:sz w:val="24"/>
          <w:szCs w:val="24"/>
        </w:rPr>
        <w:t xml:space="preserve">7.1.1 检查车辆状态，确保ESC系统正常工作。</w:t>
      </w:r>
    </w:p>
    <w:p>
      <w:pPr>
        <w:spacing w:after="0" w:line="360" w:lineRule="auto"/>
        <w:ind w:firstLine="480"/>
        <w:jc w:val="both"/>
      </w:pPr>
      <w:r>
        <w:rPr>
          <w:rFonts w:ascii="Microsoft YaHei" w:cs="Microsoft YaHei" w:eastAsia="Microsoft YaHei" w:hAnsi="Microsoft YaHei"/>
          <w:sz w:val="24"/>
          <w:szCs w:val="24"/>
        </w:rPr>
        <w:t xml:space="preserve">7.1.2 按规定加载车辆。</w:t>
      </w:r>
    </w:p>
    <w:p>
      <w:pPr>
        <w:spacing w:after="0" w:line="360" w:lineRule="auto"/>
        <w:ind w:firstLine="480"/>
        <w:jc w:val="both"/>
      </w:pPr>
      <w:r>
        <w:rPr>
          <w:rFonts w:ascii="Microsoft YaHei" w:cs="Microsoft YaHei" w:eastAsia="Microsoft YaHei" w:hAnsi="Microsoft YaHei"/>
          <w:sz w:val="24"/>
          <w:szCs w:val="24"/>
        </w:rPr>
        <w:t xml:space="preserve">7.1.3 检查轮胎气压和磨损状态。</w:t>
      </w:r>
    </w:p>
    <w:p>
      <w:pPr>
        <w:pStyle w:val="Heading2"/>
        <w:spacing w:after="120" w:before="360"/>
        <w:ind w:left="0" w:firstLine="0"/>
      </w:pPr>
      <w:r>
        <w:rPr>
          <w:rFonts w:ascii="Microsoft YaHei" w:cs="Microsoft YaHei" w:eastAsia="Microsoft YaHei" w:hAnsi="Microsoft YaHei"/>
          <w:b/>
          <w:bCs/>
          <w:color w:val="2F5496"/>
          <w:sz w:val="30"/>
          <w:szCs w:val="30"/>
        </w:rPr>
        <w:t xml:space="preserve">7.2 正弦驻留转向测试程序</w:t>
      </w:r>
    </w:p>
    <w:p>
      <w:pPr>
        <w:spacing w:after="0" w:line="360" w:lineRule="auto"/>
        <w:ind w:firstLine="480"/>
        <w:jc w:val="both"/>
      </w:pPr>
      <w:r>
        <w:rPr>
          <w:rFonts w:ascii="Microsoft YaHei" w:cs="Microsoft YaHei" w:eastAsia="Microsoft YaHei" w:hAnsi="Microsoft YaHei"/>
          <w:sz w:val="24"/>
          <w:szCs w:val="24"/>
        </w:rPr>
        <w:t xml:space="preserve">7.2.1 将车辆加速至80±2 km/h。</w:t>
      </w:r>
    </w:p>
    <w:p>
      <w:pPr>
        <w:spacing w:after="0" w:line="360" w:lineRule="auto"/>
        <w:ind w:firstLine="480"/>
        <w:jc w:val="both"/>
      </w:pPr>
      <w:r>
        <w:rPr>
          <w:rFonts w:ascii="Microsoft YaHei" w:cs="Microsoft YaHei" w:eastAsia="Microsoft YaHei" w:hAnsi="Microsoft YaHei"/>
          <w:sz w:val="24"/>
          <w:szCs w:val="24"/>
        </w:rPr>
        <w:t xml:space="preserve">7.2.2 以0.7Hz频率进行正弦转向输入。</w:t>
      </w:r>
    </w:p>
    <w:p>
      <w:pPr>
        <w:spacing w:after="0" w:line="360" w:lineRule="auto"/>
        <w:ind w:firstLine="480"/>
        <w:jc w:val="both"/>
      </w:pPr>
      <w:r>
        <w:rPr>
          <w:rFonts w:ascii="Microsoft YaHei" w:cs="Microsoft YaHei" w:eastAsia="Microsoft YaHei" w:hAnsi="Microsoft YaHei"/>
          <w:sz w:val="24"/>
          <w:szCs w:val="24"/>
        </w:rPr>
        <w:t xml:space="preserve">7.2.3 在方向盘转角达到峰值后保持500ms。</w:t>
      </w:r>
    </w:p>
    <w:p>
      <w:pPr>
        <w:spacing w:after="0" w:line="360" w:lineRule="auto"/>
        <w:ind w:firstLine="480"/>
        <w:jc w:val="both"/>
      </w:pPr>
      <w:r>
        <w:rPr>
          <w:rFonts w:ascii="Microsoft YaHei" w:cs="Microsoft YaHei" w:eastAsia="Microsoft YaHei" w:hAnsi="Microsoft YaHei"/>
          <w:sz w:val="24"/>
          <w:szCs w:val="24"/>
        </w:rPr>
        <w:t xml:space="preserve">7.2.4 记录横摆率、横向加速度和横向位移。</w:t>
      </w:r>
    </w:p>
    <w:p>
      <w:pPr>
        <w:spacing w:after="0" w:line="360" w:lineRule="auto"/>
        <w:ind w:firstLine="480"/>
        <w:jc w:val="both"/>
      </w:pPr>
      <w:r>
        <w:rPr>
          <w:rFonts w:ascii="Microsoft YaHei" w:cs="Microsoft YaHei" w:eastAsia="Microsoft YaHei" w:hAnsi="Microsoft YaHei"/>
          <w:sz w:val="24"/>
          <w:szCs w:val="24"/>
        </w:rPr>
        <w:t xml:space="preserve">7.2.5 评估是否符合性能要求。</w:t>
      </w:r>
    </w:p>
    <w:p>
      <w:pPr>
        <w:pStyle w:val="Heading1"/>
        <w:spacing w:after="240" w:before="480"/>
        <w:ind w:left="0" w:firstLine="0"/>
      </w:pPr>
      <w:r>
        <w:rPr>
          <w:rFonts w:ascii="Microsoft YaHei" w:cs="Microsoft YaHei" w:eastAsia="Microsoft YaHei" w:hAnsi="Microsoft YaHei"/>
          <w:b/>
          <w:bCs/>
          <w:color w:val="2F5496"/>
          <w:sz w:val="36"/>
          <w:szCs w:val="36"/>
        </w:rPr>
        <w:t xml:space="preserve">第八章 申请批准</w:t>
      </w:r>
    </w:p>
    <w:p>
      <w:pPr>
        <w:spacing w:after="0" w:line="360" w:lineRule="auto"/>
        <w:ind w:firstLine="480"/>
        <w:jc w:val="both"/>
      </w:pPr>
      <w:r>
        <w:rPr>
          <w:rFonts w:ascii="Microsoft YaHei" w:cs="Microsoft YaHei" w:eastAsia="Microsoft YaHei" w:hAnsi="Microsoft YaHei"/>
          <w:sz w:val="24"/>
          <w:szCs w:val="24"/>
        </w:rPr>
        <w:t xml:space="preserve">8.1 ESC系统批准的申请应由车辆类型持有人或其正式授权代表提交。</w:t>
      </w:r>
    </w:p>
    <w:p>
      <w:pPr>
        <w:spacing w:after="0" w:line="360" w:lineRule="auto"/>
        <w:ind w:firstLine="480"/>
        <w:jc w:val="both"/>
      </w:pPr>
      <w:r>
        <w:rPr>
          <w:rFonts w:ascii="Microsoft YaHei" w:cs="Microsoft YaHei" w:eastAsia="Microsoft YaHei" w:hAnsi="Microsoft YaHei"/>
          <w:sz w:val="24"/>
          <w:szCs w:val="24"/>
        </w:rPr>
        <w:t xml:space="preserve">8.2 申请应包括以下内容：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 车辆类型的详细描述，包括影响ESC性能的关键参数；</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(b) ESC系统的技术说明、原理图和安装位置图；</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(c) ESC系统组件清单；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(d) 其他技术文件。</w:t>
      </w:r>
    </w:p>
    <w:p>
      <w:pPr>
        <w:spacing w:after="0" w:line="360" w:lineRule="auto"/>
        <w:ind w:firstLine="480"/>
        <w:jc w:val="both"/>
      </w:pPr>
      <w:r>
        <w:rPr>
          <w:rFonts w:ascii="Microsoft YaHei" w:cs="Microsoft YaHei" w:eastAsia="Microsoft YaHei" w:hAnsi="Microsoft YaHei"/>
          <w:sz w:val="24"/>
          <w:szCs w:val="24"/>
        </w:rPr>
        <w:t xml:space="preserve">8.3 为验证法规符合性，应向负责批准测试的技术服务机构提交样车。</w:t>
      </w:r>
    </w:p>
    <w:p>
      <w:pPr>
        <w:pStyle w:val="Heading1"/>
        <w:spacing w:after="240" w:before="480"/>
        <w:ind w:left="0" w:firstLine="0"/>
      </w:pPr>
      <w:r>
        <w:rPr>
          <w:rFonts w:ascii="Microsoft YaHei" w:cs="Microsoft YaHei" w:eastAsia="Microsoft YaHei" w:hAnsi="Microsoft YaHei"/>
          <w:b/>
          <w:bCs/>
          <w:color w:val="2F5496"/>
          <w:sz w:val="36"/>
          <w:szCs w:val="36"/>
        </w:rPr>
        <w:t xml:space="preserve">第九章 批准</w:t>
      </w:r>
    </w:p>
    <w:p>
      <w:pPr>
        <w:spacing w:after="0" w:line="360" w:lineRule="auto"/>
        <w:ind w:firstLine="480"/>
        <w:jc w:val="both"/>
      </w:pPr>
      <w:r>
        <w:rPr>
          <w:rFonts w:ascii="Microsoft YaHei" w:cs="Microsoft YaHei" w:eastAsia="Microsoft YaHei" w:hAnsi="Microsoft YaHei"/>
          <w:sz w:val="24"/>
          <w:szCs w:val="24"/>
        </w:rPr>
        <w:t xml:space="preserve">9.1 符合本法规要求的车辆类型应获得批准。</w:t>
      </w:r>
    </w:p>
    <w:p>
      <w:pPr>
        <w:spacing w:after="0" w:line="360" w:lineRule="auto"/>
        <w:ind w:firstLine="480"/>
        <w:jc w:val="both"/>
      </w:pPr>
      <w:r>
        <w:rPr>
          <w:rFonts w:ascii="Microsoft YaHei" w:cs="Microsoft YaHei" w:eastAsia="Microsoft YaHei" w:hAnsi="Microsoft YaHei"/>
          <w:sz w:val="24"/>
          <w:szCs w:val="24"/>
        </w:rPr>
        <w:t xml:space="preserve">9.2 批准标志格式示例：E6 140-002439</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E6 表示比利时认证机构</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140 为法规号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002439 为批准号</w:t>
      </w:r>
    </w:p>
    <w:p>
      <w:pPr>
        <w:spacing w:after="0" w:line="360" w:lineRule="auto"/>
        <w:ind w:firstLine="480"/>
        <w:jc w:val="both"/>
      </w:pPr>
      <w:r>
        <w:rPr>
          <w:rFonts w:ascii="Microsoft YaHei" w:cs="Microsoft YaHei" w:eastAsia="Microsoft YaHei" w:hAnsi="Microsoft YaHei"/>
          <w:sz w:val="24"/>
          <w:szCs w:val="24"/>
        </w:rPr>
        <w:t xml:space="preserve">9.3 批准标志应清晰固定于车辆数据牌附近。</w:t>
      </w:r>
    </w:p>
    <w:p>
      <w:pPr>
        <w:pStyle w:val="Heading1"/>
        <w:spacing w:after="240" w:before="480"/>
        <w:ind w:left="0" w:firstLine="0"/>
      </w:pPr>
      <w:r>
        <w:rPr>
          <w:rFonts w:ascii="Microsoft YaHei" w:cs="Microsoft YaHei" w:eastAsia="Microsoft YaHei" w:hAnsi="Microsoft YaHei"/>
          <w:b/>
          <w:bCs/>
          <w:color w:val="2F5496"/>
          <w:sz w:val="36"/>
          <w:szCs w:val="36"/>
        </w:rPr>
        <w:t xml:space="preserve">第十章 车型变更和批准扩展</w:t>
      </w:r>
    </w:p>
    <w:p>
      <w:pPr>
        <w:spacing w:after="0" w:line="360" w:lineRule="auto"/>
        <w:ind w:firstLine="480"/>
        <w:jc w:val="both"/>
      </w:pPr>
      <w:r>
        <w:rPr>
          <w:rFonts w:ascii="Microsoft YaHei" w:cs="Microsoft YaHei" w:eastAsia="Microsoft YaHei" w:hAnsi="Microsoft YaHei"/>
          <w:sz w:val="24"/>
          <w:szCs w:val="24"/>
        </w:rPr>
        <w:t xml:space="preserve">10.1 车型变更时，应通知批准该车型的主管部门。</w:t>
      </w:r>
    </w:p>
    <w:p>
      <w:pPr>
        <w:spacing w:after="0" w:line="360" w:lineRule="auto"/>
        <w:ind w:firstLine="480"/>
        <w:jc w:val="both"/>
      </w:pPr>
      <w:r>
        <w:rPr>
          <w:rFonts w:ascii="Microsoft YaHei" w:cs="Microsoft YaHei" w:eastAsia="Microsoft YaHei" w:hAnsi="Microsoft YaHei"/>
          <w:sz w:val="24"/>
          <w:szCs w:val="24"/>
        </w:rPr>
        <w:t xml:space="preserve">10.2 如变更不影响ESC系统性能，批准可扩展至变更后的车型。</w:t>
      </w:r>
    </w:p>
    <w:p>
      <w:pPr>
        <w:spacing w:after="0" w:line="360" w:lineRule="auto"/>
        <w:ind w:firstLine="480"/>
        <w:jc w:val="both"/>
      </w:pPr>
      <w:r>
        <w:rPr>
          <w:rFonts w:ascii="Microsoft YaHei" w:cs="Microsoft YaHei" w:eastAsia="Microsoft YaHei" w:hAnsi="Microsoft YaHei"/>
          <w:sz w:val="24"/>
          <w:szCs w:val="24"/>
        </w:rPr>
        <w:t xml:space="preserve">10.3 如变更影响ESC系统性能，应重新进行测试。</w:t>
      </w:r>
    </w:p>
    <w:p>
      <w:pPr>
        <w:pStyle w:val="Heading1"/>
        <w:spacing w:after="240" w:before="480"/>
        <w:ind w:left="0" w:firstLine="0"/>
      </w:pPr>
      <w:r>
        <w:rPr>
          <w:rFonts w:ascii="Microsoft YaHei" w:cs="Microsoft YaHei" w:eastAsia="Microsoft YaHei" w:hAnsi="Microsoft YaHei"/>
          <w:b/>
          <w:bCs/>
          <w:color w:val="2F5496"/>
          <w:sz w:val="36"/>
          <w:szCs w:val="36"/>
        </w:rPr>
        <w:t xml:space="preserve">第十一章 生产一致性</w:t>
      </w:r>
    </w:p>
    <w:p>
      <w:pPr>
        <w:spacing w:after="0" w:line="360" w:lineRule="auto"/>
        <w:ind w:firstLine="480"/>
        <w:jc w:val="both"/>
      </w:pPr>
      <w:r>
        <w:rPr>
          <w:rFonts w:ascii="Microsoft YaHei" w:cs="Microsoft YaHei" w:eastAsia="Microsoft YaHei" w:hAnsi="Microsoft YaHei"/>
          <w:sz w:val="24"/>
          <w:szCs w:val="24"/>
        </w:rPr>
        <w:t xml:space="preserve">11.1 批准持有人应确保生产的车辆与批准的车型一致。</w:t>
      </w:r>
    </w:p>
    <w:p>
      <w:pPr>
        <w:spacing w:after="0" w:line="360" w:lineRule="auto"/>
        <w:ind w:firstLine="480"/>
        <w:jc w:val="both"/>
      </w:pPr>
      <w:r>
        <w:rPr>
          <w:rFonts w:ascii="Microsoft YaHei" w:cs="Microsoft YaHei" w:eastAsia="Microsoft YaHei" w:hAnsi="Microsoft YaHei"/>
          <w:sz w:val="24"/>
          <w:szCs w:val="24"/>
        </w:rPr>
        <w:t xml:space="preserve">11.2 主管部门可随时检查生产一致性。</w:t>
      </w:r>
    </w:p>
    <w:p>
      <w:pPr>
        <w:spacing w:after="0" w:line="360" w:lineRule="auto"/>
        <w:ind w:firstLine="480"/>
        <w:jc w:val="both"/>
      </w:pPr>
      <w:r>
        <w:rPr>
          <w:rFonts w:ascii="Microsoft YaHei" w:cs="Microsoft YaHei" w:eastAsia="Microsoft YaHei" w:hAnsi="Microsoft YaHei"/>
          <w:sz w:val="24"/>
          <w:szCs w:val="24"/>
        </w:rPr>
        <w:t xml:space="preserve">11.3 如发现不符合，批准持有人应采取纠正措施。</w:t>
      </w:r>
    </w:p>
    <w:p>
      <w:pPr>
        <w:pStyle w:val="Heading1"/>
        <w:spacing w:after="240" w:before="480"/>
        <w:ind w:left="0" w:firstLine="0"/>
      </w:pPr>
      <w:r>
        <w:rPr>
          <w:rFonts w:ascii="Microsoft YaHei" w:cs="Microsoft YaHei" w:eastAsia="Microsoft YaHei" w:hAnsi="Microsoft YaHei"/>
          <w:b/>
          <w:bCs/>
          <w:color w:val="2F5496"/>
          <w:sz w:val="36"/>
          <w:szCs w:val="36"/>
        </w:rPr>
        <w:t xml:space="preserve">第十二章 生产不一致的处罚</w:t>
      </w:r>
    </w:p>
    <w:p>
      <w:pPr>
        <w:spacing w:after="0" w:line="360" w:lineRule="auto"/>
        <w:ind w:firstLine="480"/>
        <w:jc w:val="both"/>
      </w:pPr>
      <w:r>
        <w:rPr>
          <w:rFonts w:ascii="Microsoft YaHei" w:cs="Microsoft YaHei" w:eastAsia="Microsoft YaHei" w:hAnsi="Microsoft YaHei"/>
          <w:sz w:val="24"/>
          <w:szCs w:val="24"/>
        </w:rPr>
        <w:t xml:space="preserve">12.1 如发现生产不一致，可撤销批准。</w:t>
      </w:r>
    </w:p>
    <w:p>
      <w:pPr>
        <w:spacing w:after="0" w:line="360" w:lineRule="auto"/>
        <w:ind w:firstLine="480"/>
        <w:jc w:val="both"/>
      </w:pPr>
      <w:r>
        <w:rPr>
          <w:rFonts w:ascii="Microsoft YaHei" w:cs="Microsoft YaHei" w:eastAsia="Microsoft YaHei" w:hAnsi="Microsoft YaHei"/>
          <w:sz w:val="24"/>
          <w:szCs w:val="24"/>
        </w:rPr>
        <w:t xml:space="preserve">12.2 撤销批准前，应给予批准持有人纠正的机会。</w:t>
      </w:r>
    </w:p>
    <w:p>
      <w:pPr>
        <w:pStyle w:val="Heading1"/>
        <w:spacing w:after="240" w:before="480"/>
        <w:ind w:left="0" w:firstLine="0"/>
      </w:pPr>
      <w:r>
        <w:rPr>
          <w:rFonts w:ascii="Microsoft YaHei" w:cs="Microsoft YaHei" w:eastAsia="Microsoft YaHei" w:hAnsi="Microsoft YaHei"/>
          <w:b/>
          <w:bCs/>
          <w:color w:val="2F5496"/>
          <w:sz w:val="36"/>
          <w:szCs w:val="36"/>
        </w:rPr>
        <w:t xml:space="preserve">第十三章 生产终止</w:t>
      </w:r>
    </w:p>
    <w:p>
      <w:pPr>
        <w:spacing w:after="0" w:line="360" w:lineRule="auto"/>
        <w:ind w:firstLine="480"/>
        <w:jc w:val="both"/>
      </w:pPr>
      <w:r>
        <w:rPr>
          <w:rFonts w:ascii="Microsoft YaHei" w:cs="Microsoft YaHei" w:eastAsia="Microsoft YaHei" w:hAnsi="Microsoft YaHei"/>
          <w:sz w:val="24"/>
          <w:szCs w:val="24"/>
        </w:rPr>
        <w:t xml:space="preserve">13.1 如批准持有人决定永久停止生产该车型，应通知主管部门。</w:t>
      </w:r>
    </w:p>
    <w:p>
      <w:pPr>
        <w:spacing w:after="0" w:line="360" w:lineRule="auto"/>
        <w:ind w:firstLine="480"/>
        <w:jc w:val="both"/>
      </w:pPr>
      <w:r>
        <w:rPr>
          <w:rFonts w:ascii="Microsoft YaHei" w:cs="Microsoft YaHei" w:eastAsia="Microsoft YaHei" w:hAnsi="Microsoft YaHei"/>
          <w:sz w:val="24"/>
          <w:szCs w:val="24"/>
        </w:rPr>
        <w:t xml:space="preserve">13.2 主管部门应在收到通知后撤销批准。</w:t>
      </w:r>
    </w:p>
    <w:p>
      <w:pPr>
        <w:pStyle w:val="Heading1"/>
        <w:spacing w:after="240" w:before="480"/>
        <w:ind w:left="0" w:firstLine="0"/>
      </w:pPr>
      <w:r>
        <w:rPr>
          <w:rFonts w:ascii="Microsoft YaHei" w:cs="Microsoft YaHei" w:eastAsia="Microsoft YaHei" w:hAnsi="Microsoft YaHei"/>
          <w:b/>
          <w:bCs/>
          <w:color w:val="2F5496"/>
          <w:sz w:val="36"/>
          <w:szCs w:val="36"/>
        </w:rPr>
        <w:t xml:space="preserve">第十四章 过渡条款</w:t>
      </w:r>
    </w:p>
    <w:p>
      <w:pPr>
        <w:spacing w:after="0" w:line="360" w:lineRule="auto"/>
        <w:ind w:firstLine="480"/>
        <w:jc w:val="both"/>
      </w:pPr>
      <w:r>
        <w:rPr>
          <w:rFonts w:ascii="Microsoft YaHei" w:cs="Microsoft YaHei" w:eastAsia="Microsoft YaHei" w:hAnsi="Microsoft YaHei"/>
          <w:sz w:val="24"/>
          <w:szCs w:val="24"/>
        </w:rPr>
        <w:t xml:space="preserve">14.1 本法规自2017年1月22日起生效。</w:t>
      </w:r>
    </w:p>
    <w:p>
      <w:pPr>
        <w:spacing w:after="0" w:line="360" w:lineRule="auto"/>
        <w:ind w:firstLine="480"/>
        <w:jc w:val="both"/>
      </w:pPr>
      <w:r>
        <w:rPr>
          <w:rFonts w:ascii="Microsoft YaHei" w:cs="Microsoft YaHei" w:eastAsia="Microsoft YaHei" w:hAnsi="Microsoft YaHei"/>
          <w:sz w:val="24"/>
          <w:szCs w:val="24"/>
        </w:rPr>
        <w:t xml:space="preserve">14.2 补充1自2018年12月29日起生效。</w:t>
      </w:r>
    </w:p>
    <w:p>
      <w:pPr>
        <w:spacing w:after="0" w:line="360" w:lineRule="auto"/>
        <w:ind w:firstLine="480"/>
        <w:jc w:val="both"/>
      </w:pPr>
      <w:r>
        <w:rPr>
          <w:rFonts w:ascii="Microsoft YaHei" w:cs="Microsoft YaHei" w:eastAsia="Microsoft YaHei" w:hAnsi="Microsoft YaHei"/>
          <w:sz w:val="24"/>
          <w:szCs w:val="24"/>
        </w:rPr>
        <w:t xml:space="preserve">14.3 在本法规生效前已批准的车型，可继续生产至过渡期结束。</w:t>
      </w:r>
    </w:p>
    <w:p>
      <w:pPr>
        <w:pStyle w:val="Heading1"/>
        <w:spacing w:after="240" w:before="480"/>
        <w:ind w:left="0" w:firstLine="0"/>
      </w:pPr>
      <w:r>
        <w:rPr>
          <w:rFonts w:ascii="Microsoft YaHei" w:cs="Microsoft YaHei" w:eastAsia="Microsoft YaHei" w:hAnsi="Microsoft YaHei"/>
          <w:b/>
          <w:bCs/>
          <w:color w:val="2F5496"/>
          <w:sz w:val="36"/>
          <w:szCs w:val="36"/>
        </w:rPr>
        <w:t xml:space="preserve">附件</w:t>
      </w:r>
    </w:p>
    <w:p>
      <w:pPr>
        <w:pStyle w:val="Heading2"/>
        <w:spacing w:after="120" w:before="360"/>
        <w:ind w:left="0" w:firstLine="0"/>
      </w:pPr>
      <w:r>
        <w:rPr>
          <w:rFonts w:ascii="Microsoft YaHei" w:cs="Microsoft YaHei" w:eastAsia="Microsoft YaHei" w:hAnsi="Microsoft YaHei"/>
          <w:b/>
          <w:bCs/>
          <w:color w:val="2F5496"/>
          <w:sz w:val="30"/>
          <w:szCs w:val="30"/>
        </w:rPr>
        <w:t xml:space="preserve">附件1 通信表格</w:t>
      </w:r>
    </w:p>
    <w:p>
      <w:pPr>
        <w:spacing w:after="0" w:line="360" w:lineRule="auto"/>
        <w:ind w:firstLine="480"/>
        <w:jc w:val="both"/>
      </w:pPr>
      <w:r>
        <w:rPr>
          <w:rFonts w:ascii="Microsoft YaHei" w:cs="Microsoft YaHei" w:eastAsia="Microsoft YaHei" w:hAnsi="Microsoft YaHei"/>
          <w:sz w:val="24"/>
          <w:szCs w:val="24"/>
        </w:rPr>
        <w:t xml:space="preserve">关于批准（或拒绝或撤销批准或生产终止）的通信表格格式。</w:t>
      </w:r>
    </w:p>
    <w:p>
      <w:pPr>
        <w:pStyle w:val="Heading2"/>
        <w:spacing w:after="120" w:before="360"/>
        <w:ind w:left="0" w:firstLine="0"/>
      </w:pPr>
      <w:r>
        <w:rPr>
          <w:rFonts w:ascii="Microsoft YaHei" w:cs="Microsoft YaHei" w:eastAsia="Microsoft YaHei" w:hAnsi="Microsoft YaHei"/>
          <w:b/>
          <w:bCs/>
          <w:color w:val="2F5496"/>
          <w:sz w:val="30"/>
          <w:szCs w:val="30"/>
        </w:rPr>
        <w:t xml:space="preserve">附件2 批准标志布置</w:t>
      </w:r>
    </w:p>
    <w:p>
      <w:pPr>
        <w:spacing w:after="0" w:line="360" w:lineRule="auto"/>
        <w:ind w:firstLine="480"/>
        <w:jc w:val="both"/>
      </w:pPr>
      <w:r>
        <w:rPr>
          <w:rFonts w:ascii="Microsoft YaHei" w:cs="Microsoft YaHei" w:eastAsia="Microsoft YaHei" w:hAnsi="Microsoft YaHei"/>
          <w:sz w:val="24"/>
          <w:szCs w:val="24"/>
        </w:rPr>
        <w:t xml:space="preserve">批准标志的尺寸、位置和固定要求。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附件3 正弦驻留转向测试详细程序</w:t>
      </w:r>
    </w:p>
    <w:p>
      <w:pPr>
        <w:spacing w:after="0" w:line="360" w:lineRule="auto"/>
        <w:ind w:firstLine="480"/>
        <w:jc w:val="both"/>
      </w:pPr>
      <w:r>
        <w:rPr>
          <w:rFonts w:ascii="Microsoft YaHei" w:cs="Microsoft YaHei" w:eastAsia="Microsoft YaHei" w:hAnsi="Microsoft YaHei"/>
          <w:sz w:val="24"/>
          <w:szCs w:val="24"/>
        </w:rPr>
        <w:t xml:space="preserve">包括测试设备要求、数据采集方法、数据处理和评估标准。</w:t>
      </w:r>
    </w:p>
    <w:p>
      <w:pPr>
        <w:pStyle w:val="Heading2"/>
        <w:spacing w:after="120" w:before="360"/>
        <w:ind w:left="0" w:firstLine="0"/>
      </w:pPr>
      <w:r>
        <w:rPr>
          <w:rFonts w:ascii="Microsoft YaHei" w:cs="Microsoft YaHei" w:eastAsia="Microsoft YaHei" w:hAnsi="Microsoft YaHei"/>
          <w:b/>
          <w:bCs/>
          <w:color w:val="2F5496"/>
          <w:sz w:val="30"/>
          <w:szCs w:val="30"/>
        </w:rPr>
        <w:t xml:space="preserve">附件4 仿真工具和仿真验证</w:t>
      </w:r>
    </w:p>
    <w:p>
      <w:pPr>
        <w:spacing w:after="0" w:line="360" w:lineRule="auto"/>
        <w:ind w:firstLine="480"/>
        <w:jc w:val="both"/>
      </w:pPr>
      <w:r>
        <w:rPr>
          <w:rFonts w:ascii="Microsoft YaHei" w:cs="Microsoft YaHei" w:eastAsia="Microsoft YaHei" w:hAnsi="Microsoft YaHei"/>
          <w:sz w:val="24"/>
          <w:szCs w:val="24"/>
        </w:rPr>
        <w:t xml:space="preserve">允许使用仿真工具进行部分验证的条件和方法。</w:t>
      </w:r>
    </w:p>
    <w:p>
      <w:pPr>
        <w:pBdr>
          <w:bottom w:val="single" w:color="2F5496" w:sz="6" w:space="1"/>
        </w:pBdr>
        <w:spacing w:after="160" w:before="160"/>
      </w:pP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重要声明：本中文译本仅供参考，不具有法律效力。法规原文为联合国官方英文文本ECE/TRANS/WP.29/2016/62。如需进行认证或技术评估，请参考官方原文。</w:t>
      </w:r>
    </w:p>
    <w:p>
      <w:pPr>
        <w:pBdr>
          <w:bottom w:val="single" w:color="2F5496" w:sz="6" w:space="1"/>
        </w:pBdr>
        <w:spacing w:after="160" w:before="160"/>
      </w:pPr>
    </w:p>
    <w:p>
      <w:pPr>
        <w:spacing w:after="0" w:line="360" w:lineRule="auto"/>
        <w:ind w:firstLine="0"/>
        <w:jc w:val="both"/>
      </w:pPr>
      <w:r>
        <w:rPr>
          <w:rFonts w:ascii="Microsoft YaHei" w:cs="Microsoft YaHei" w:eastAsia="Microsoft YaHei" w:hAnsi="Microsoft YaHei"/>
          <w:sz w:val="24"/>
          <w:szCs w:val="24"/>
        </w:rPr>
        <w:t xml:space="preserve">法规编号：UN ECE Regulation No. 140</w:t>
      </w:r>
    </w:p>
    <w:p>
      <w:pPr>
        <w:spacing w:after="0" w:line="360" w:lineRule="auto"/>
        <w:ind w:firstLine="0"/>
        <w:jc w:val="both"/>
      </w:pPr>
      <w:r>
        <w:rPr>
          <w:rFonts w:ascii="Microsoft YaHei" w:cs="Microsoft YaHei" w:eastAsia="Microsoft YaHei" w:hAnsi="Microsoft YaHei"/>
          <w:sz w:val="24"/>
          <w:szCs w:val="24"/>
        </w:rPr>
        <w:t xml:space="preserve">原文来源：EUR-Lex OJ L 269, 26.10.2018, p. 17-35</w:t>
      </w:r>
    </w:p>
    <w:p>
      <w:pPr>
        <w:spacing w:after="0" w:line="360" w:lineRule="auto"/>
        <w:ind w:firstLine="0"/>
        <w:jc w:val="both"/>
      </w:pPr>
      <w:r>
        <w:rPr>
          <w:rFonts w:ascii="Microsoft YaHei" w:cs="Microsoft YaHei" w:eastAsia="Microsoft YaHei" w:hAnsi="Microsoft YaHei"/>
          <w:sz w:val="24"/>
          <w:szCs w:val="24"/>
        </w:rPr>
        <w:t xml:space="preserve">翻译日期：2026年5月17日</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联合国欧洲经济委员会第140号法规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联合国欧洲经济委员会第140号法规</dc:title>
  <dc:creator>联合国欧洲经济委员会(UNECE)</dc:creator>
  <cp:lastModifiedBy>Un-named</cp:lastModifiedBy>
  <cp:revision>1</cp:revision>
  <dcterms:created xsi:type="dcterms:W3CDTF">2026-05-17T06:27:19.951Z</dcterms:created>
  <dcterms:modified xsi:type="dcterms:W3CDTF">2026-05-17T06:27:19.951Z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"c2108646-5a47-4de2-aacd-8aafc95ab9ba", "ReservedCode1": "72dafc97cd38b92e5f3d5cdfd0dfbbe6", "ContentPropagator": "001191110000802100433B11010001191110000802100433B11010", "PropagateID": "b397473b-e817-4f1a-9102-e6c4c768a35d", "ReservedCode2": "2734827274df537123a472bf4de01eb5"}</vt:lpwstr>
  </property>
</Properties>
</file>