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360"/>
        <w:ind w:firstLine="0"/>
        <w:jc w:val="center"/>
      </w:pPr>
      <w:r>
        <w:rPr>
          <w:rFonts w:ascii="Microsoft YaHei" w:cs="Microsoft YaHei" w:eastAsia="Microsoft YaHei" w:hAnsi="Microsoft YaHei"/>
          <w:b/>
          <w:bCs/>
          <w:color w:val="2F5496"/>
          <w:sz w:val="52"/>
          <w:szCs w:val="52"/>
        </w:rPr>
        <w:t xml:space="preserve">UN ECE R16.07 法规介绍</w:t>
      </w:r>
    </w:p>
    <w:p>
      <w:pPr>
        <w:spacing w:after="240"/>
        <w:ind w:firstLine="0"/>
        <w:jc w:val="center"/>
      </w:pPr>
      <w:r>
        <w:rPr>
          <w:rFonts w:ascii="Microsoft YaHei" w:cs="Microsoft YaHei" w:eastAsia="Microsoft YaHei" w:hAnsi="Microsoft YaHei"/>
          <w:color w:val="555555"/>
          <w:sz w:val="32"/>
          <w:szCs w:val="32"/>
        </w:rPr>
        <w:t xml:space="preserve">关于机动车辆安全带、约束系统、儿童约束系统及ISOFIX儿童约束系统的统一规定</w:t>
      </w:r>
    </w:p>
    <w:p>
      <w:pPr>
        <w:spacing w:after="120"/>
        <w:ind w:firstLine="0"/>
        <w:jc w:val="center"/>
      </w:pPr>
      <w:r>
        <w:rPr>
          <w:rFonts w:ascii="Microsoft YaHei" w:cs="Microsoft YaHei" w:eastAsia="Microsoft YaHei" w:hAnsi="Microsoft YaHei"/>
          <w:color w:val="666666"/>
          <w:sz w:val="24"/>
          <w:szCs w:val="24"/>
        </w:rPr>
        <w:t xml:space="preserve">联合国欧洲经济委员会</w:t>
      </w:r>
    </w:p>
    <w:p>
      <w:pPr>
        <w:spacing w:after="0"/>
        <w:ind w:firstLine="0"/>
        <w:jc w:val="center"/>
      </w:pPr>
      <w:r>
        <w:rPr>
          <w:rFonts w:ascii="Microsoft YaHei" w:cs="Microsoft YaHei" w:eastAsia="Microsoft YaHei" w:hAnsi="Microsoft YaHei"/>
          <w:color w:val="666666"/>
          <w:sz w:val="24"/>
          <w:szCs w:val="24"/>
        </w:rPr>
        <w:t xml:space="preserve">2019年9月1日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40" w:before="480"/>
        <w:ind w:left="0" w:firstLine="0"/>
      </w:pPr>
      <w:r>
        <w:rPr>
          <w:rFonts w:ascii="Microsoft YaHei" w:cs="Microsoft YaHei" w:eastAsia="Microsoft YaHei" w:hAnsi="Microsoft YaHei"/>
          <w:b/>
          <w:bCs/>
          <w:color w:val="2F5496"/>
          <w:sz w:val="36"/>
          <w:szCs w:val="36"/>
        </w:rPr>
        <w:t xml:space="preserve">一、法规概述</w:t>
      </w:r>
    </w:p>
    <w:p>
      <w:pPr>
        <w:spacing w:after="0" w:line="360" w:lineRule="auto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UN ECE R16.07 是联合国欧洲经济委员会制定的关于机动车辆安全带、约束系统、儿童约束系统及ISOFIX儿童约束系统的统一技术批准规定，属于1958年协议框架下的重要安全法规。该法规旨在确保车辆在正常使用和碰撞工况下的安全性能，是车辆被动安全的重要组成部分。</w:t>
      </w:r>
    </w:p>
    <w:p>
      <w:pPr>
        <w:pStyle w:val="Heading1"/>
        <w:spacing w:after="240" w:before="480"/>
        <w:ind w:left="0" w:firstLine="0"/>
      </w:pPr>
      <w:r>
        <w:rPr>
          <w:rFonts w:ascii="Microsoft YaHei" w:cs="Microsoft YaHei" w:eastAsia="Microsoft YaHei" w:hAnsi="Microsoft YaHei"/>
          <w:b/>
          <w:bCs/>
          <w:color w:val="2F5496"/>
          <w:sz w:val="36"/>
          <w:szCs w:val="36"/>
        </w:rPr>
        <w:t xml:space="preserve">二、基本信息</w:t>
      </w:r>
    </w:p>
    <w:p>
      <w:pPr>
        <w:spacing w:after="80" w:before="120"/>
        <w:ind w:firstLine="0"/>
        <w:jc w:val="center"/>
      </w:pPr>
      <w:r>
        <w:rPr>
          <w:rFonts w:ascii="Microsoft YaHei" w:cs="Microsoft YaHei" w:eastAsia="Microsoft YaHei" w:hAnsi="Microsoft YaHei"/>
          <w:b/>
          <w:bCs/>
          <w:sz w:val="18"/>
          <w:szCs w:val="18"/>
        </w:rPr>
        <w:t xml:space="preserve">法规基本信息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4"/>
                <w:szCs w:val="24"/>
              </w:rPr>
              <w:t xml:space="preserve">项目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4"/>
                <w:szCs w:val="24"/>
              </w:rPr>
              <w:t xml:space="preserve">内容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法规全称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关于机动车辆安全带、约束系统、儿童约束系统及ISOFIX儿童约束系统的统一规定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英文名称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Safety-Belts and Restraint Systems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适用车辆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M类、N类车辆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生效时间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2019年9月1日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版本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07系列修正案</w:t>
            </w:r>
          </w:p>
        </w:tc>
      </w:tr>
    </w:tbl>
    <w:p>
      <w:pPr>
        <w:pStyle w:val="Heading1"/>
        <w:spacing w:after="240" w:before="480"/>
        <w:ind w:left="0" w:firstLine="0"/>
      </w:pPr>
      <w:r>
        <w:rPr>
          <w:rFonts w:ascii="Microsoft YaHei" w:cs="Microsoft YaHei" w:eastAsia="Microsoft YaHei" w:hAnsi="Microsoft YaHei"/>
          <w:b/>
          <w:bCs/>
          <w:color w:val="2F5496"/>
          <w:sz w:val="36"/>
          <w:szCs w:val="36"/>
        </w:rPr>
        <w:t xml:space="preserve">三、核心内容</w:t>
      </w:r>
    </w:p>
    <w:p>
      <w:pPr>
        <w:pStyle w:val="Heading2"/>
        <w:spacing w:after="120" w:before="360"/>
        <w:ind w:left="0" w:firstLine="0"/>
      </w:pPr>
      <w:r>
        <w:rPr>
          <w:rFonts w:ascii="Microsoft YaHei" w:cs="Microsoft YaHei" w:eastAsia="Microsoft YaHei" w:hAnsi="Microsoft YaHei"/>
          <w:b/>
          <w:bCs/>
          <w:color w:val="2F5496"/>
          <w:sz w:val="30"/>
          <w:szCs w:val="30"/>
        </w:rPr>
        <w:t xml:space="preserve">（一）涵盖的关键部件</w:t>
      </w:r>
    </w:p>
    <w:p>
      <w:pPr>
        <w:spacing w:after="0" w:line="360" w:lineRule="auto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1. 安全带：三点式（A类）、两点式（B类）、特殊类型（S类）</w:t>
      </w:r>
    </w:p>
    <w:p>
      <w:pPr>
        <w:spacing w:after="0" w:line="360" w:lineRule="auto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2. 卷收器：紧急锁定卷收器（类型4）</w:t>
      </w:r>
    </w:p>
    <w:p>
      <w:pPr>
        <w:spacing w:after="0" w:line="360" w:lineRule="auto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3. ISOFIX系统：儿童约束系统刚性连接装置</w:t>
      </w:r>
    </w:p>
    <w:p>
      <w:pPr>
        <w:spacing w:after="0" w:line="360" w:lineRule="auto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4. 安全带提醒装置：两级警告系统</w:t>
      </w:r>
    </w:p>
    <w:p>
      <w:pPr>
        <w:pStyle w:val="Heading1"/>
        <w:spacing w:after="240" w:before="480"/>
        <w:ind w:left="0" w:firstLine="0"/>
      </w:pPr>
      <w:r>
        <w:rPr>
          <w:rFonts w:ascii="Microsoft YaHei" w:cs="Microsoft YaHei" w:eastAsia="Microsoft YaHei" w:hAnsi="Microsoft YaHei"/>
          <w:b/>
          <w:bCs/>
          <w:color w:val="2F5496"/>
          <w:sz w:val="36"/>
          <w:szCs w:val="36"/>
        </w:rPr>
        <w:t xml:space="preserve">四、技术要求</w:t>
      </w:r>
    </w:p>
    <w:p>
      <w:pPr>
        <w:pStyle w:val="Heading2"/>
        <w:spacing w:after="120" w:before="360"/>
        <w:ind w:left="0" w:firstLine="0"/>
      </w:pPr>
      <w:r>
        <w:rPr>
          <w:rFonts w:ascii="Microsoft YaHei" w:cs="Microsoft YaHei" w:eastAsia="Microsoft YaHei" w:hAnsi="Microsoft YaHei"/>
          <w:b/>
          <w:bCs/>
          <w:color w:val="2F5496"/>
          <w:sz w:val="30"/>
          <w:szCs w:val="30"/>
        </w:rPr>
        <w:t xml:space="preserve">（一）性能要求</w:t>
      </w:r>
    </w:p>
    <w:p>
      <w:pPr>
        <w:pStyle w:val="ListParagraph"/>
        <w:numPr>
          <w:ilvl w:val="0"/>
          <w:numId w:val="2"/>
        </w:numPr>
        <w:spacing w:after="60" w:line="360" w:lineRule="auto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织带强度：常温下断裂负荷≥1470 daN</w:t>
      </w:r>
    </w:p>
    <w:p>
      <w:pPr>
        <w:pStyle w:val="ListParagraph"/>
        <w:numPr>
          <w:ilvl w:val="0"/>
          <w:numId w:val="2"/>
        </w:numPr>
        <w:spacing w:after="60" w:line="360" w:lineRule="auto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卷收器耐久性：通过5000-45000次收放循环</w:t>
      </w:r>
    </w:p>
    <w:p>
      <w:pPr>
        <w:pStyle w:val="ListParagraph"/>
        <w:numPr>
          <w:ilvl w:val="0"/>
          <w:numId w:val="2"/>
        </w:numPr>
        <w:spacing w:after="60" w:line="360" w:lineRule="auto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能量吸收装置：碰撞时吸收冲击能量</w:t>
      </w:r>
    </w:p>
    <w:p>
      <w:pPr>
        <w:pStyle w:val="ListParagraph"/>
        <w:numPr>
          <w:ilvl w:val="0"/>
          <w:numId w:val="2"/>
        </w:numPr>
        <w:spacing w:after="60" w:line="360" w:lineRule="auto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安全带提醒：扩展至M、N类车辆前排座椅</w:t>
      </w:r>
    </w:p>
    <w:p>
      <w:pPr>
        <w:pStyle w:val="Heading2"/>
        <w:spacing w:after="120" w:before="360"/>
        <w:ind w:left="0" w:firstLine="0"/>
      </w:pPr>
      <w:r>
        <w:rPr>
          <w:rFonts w:ascii="Microsoft YaHei" w:cs="Microsoft YaHei" w:eastAsia="Microsoft YaHei" w:hAnsi="Microsoft YaHei"/>
          <w:b/>
          <w:bCs/>
          <w:color w:val="2F5496"/>
          <w:sz w:val="30"/>
          <w:szCs w:val="30"/>
        </w:rPr>
        <w:t xml:space="preserve">（二）测试方法</w:t>
      </w:r>
    </w:p>
    <w:p>
      <w:pPr>
        <w:pStyle w:val="ListParagraph"/>
        <w:numPr>
          <w:ilvl w:val="0"/>
          <w:numId w:val="2"/>
        </w:numPr>
        <w:spacing w:after="60" w:line="360" w:lineRule="auto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织带强度测试：常温及特殊条件测试</w:t>
      </w:r>
    </w:p>
    <w:p>
      <w:pPr>
        <w:pStyle w:val="ListParagraph"/>
        <w:numPr>
          <w:ilvl w:val="0"/>
          <w:numId w:val="2"/>
        </w:numPr>
        <w:spacing w:after="60" w:line="360" w:lineRule="auto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卷收器耐久性测试：循环收放试验</w:t>
      </w:r>
    </w:p>
    <w:p>
      <w:pPr>
        <w:pStyle w:val="ListParagraph"/>
        <w:numPr>
          <w:ilvl w:val="0"/>
          <w:numId w:val="2"/>
        </w:numPr>
        <w:spacing w:after="60" w:line="360" w:lineRule="auto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动态碰撞测试：模拟碰撞工况</w:t>
      </w:r>
    </w:p>
    <w:p>
      <w:pPr>
        <w:pStyle w:val="ListParagraph"/>
        <w:numPr>
          <w:ilvl w:val="0"/>
          <w:numId w:val="2"/>
        </w:numPr>
        <w:spacing w:after="60" w:line="360" w:lineRule="auto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粉尘和腐蚀测试：环境耐久性试验</w:t>
      </w:r>
    </w:p>
    <w:p>
      <w:pPr>
        <w:pStyle w:val="Heading1"/>
        <w:spacing w:after="240" w:before="480"/>
        <w:ind w:left="0" w:firstLine="0"/>
      </w:pPr>
      <w:r>
        <w:rPr>
          <w:rFonts w:ascii="Microsoft YaHei" w:cs="Microsoft YaHei" w:eastAsia="Microsoft YaHei" w:hAnsi="Microsoft YaHei"/>
          <w:b/>
          <w:bCs/>
          <w:color w:val="2F5496"/>
          <w:sz w:val="36"/>
          <w:szCs w:val="36"/>
        </w:rPr>
        <w:t xml:space="preserve">五、法规意义</w:t>
      </w:r>
    </w:p>
    <w:p>
      <w:pPr>
        <w:spacing w:after="0" w:line="360" w:lineRule="auto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07版新增M1/N1类车辆后排座椅未系提醒要求。该法规通过统一的技术标准，促进了国际贸易便利化，确保了相关系统的安全性能，有效降低了交通事故中的伤亡风险。</w:t>
      </w:r>
    </w:p>
    <w:p>
      <w:pPr>
        <w:pStyle w:val="Heading1"/>
        <w:spacing w:after="240" w:before="480"/>
        <w:ind w:left="0" w:firstLine="0"/>
      </w:pPr>
      <w:r>
        <w:rPr>
          <w:rFonts w:ascii="Microsoft YaHei" w:cs="Microsoft YaHei" w:eastAsia="Microsoft YaHei" w:hAnsi="Microsoft YaHei"/>
          <w:b/>
          <w:bCs/>
          <w:color w:val="2F5496"/>
          <w:sz w:val="36"/>
          <w:szCs w:val="36"/>
        </w:rPr>
        <w:t xml:space="preserve">六、认证流程</w:t>
      </w:r>
    </w:p>
    <w:p>
      <w:pPr>
        <w:spacing w:after="80" w:before="120"/>
        <w:ind w:firstLine="0"/>
        <w:jc w:val="center"/>
      </w:pPr>
      <w:r>
        <w:rPr>
          <w:rFonts w:ascii="Microsoft YaHei" w:cs="Microsoft YaHei" w:eastAsia="Microsoft YaHei" w:hAnsi="Microsoft YaHei"/>
          <w:b/>
          <w:bCs/>
          <w:sz w:val="18"/>
          <w:szCs w:val="18"/>
        </w:rPr>
        <w:t xml:space="preserve">认证流程步骤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4"/>
                <w:szCs w:val="24"/>
              </w:rPr>
              <w:t xml:space="preserve">步骤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4"/>
                <w:szCs w:val="24"/>
              </w:rPr>
              <w:t xml:space="preserve">内容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第一步：申请准备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提交设计图纸、材料规格、试验数据等技术资料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第二步：产品测试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在认可实验室进行机械强度、耐久性等测试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第三步：工厂审查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检查生产设备、质量控制体系、人员资质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第四步：认证发证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合格后颁发E-mark认证证书和批准标志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ind w:firstLine="0"/>
      <w:jc w:val="center"/>
    </w:pPr>
    <w:r>
      <w:rPr>
        <w:rFonts w:ascii="Microsoft YaHei" w:cs="Microsoft YaHei" w:eastAsia="Microsoft YaHei" w:hAnsi="Microsoft YaHei"/>
        <w:color w:val="808080"/>
        <w:sz w:val="18"/>
        <w:szCs w:val="18"/>
      </w:rPr>
      <w:t xml:space="preserve">- </w:t>
    </w:r>
    <w:r>
      <w:rPr>
        <w:rFonts w:ascii="Microsoft YaHei" w:cs="Microsoft YaHei" w:eastAsia="Microsoft YaHei" w:hAnsi="Microsoft YaHei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808080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808080" w:sz="4" w:space="1"/>
      </w:pBdr>
      <w:ind w:firstLine="0"/>
    </w:pPr>
    <w:r>
      <w:rPr>
        <w:rFonts w:ascii="Microsoft YaHei" w:cs="Microsoft YaHei" w:eastAsia="Microsoft YaHei" w:hAnsi="Microsoft YaHei"/>
        <w:color w:val="808080"/>
        <w:sz w:val="18"/>
        <w:szCs w:val="18"/>
      </w:rPr>
      <w:t xml:space="preserve">UN ECE R16.07 法规介绍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  <w:lvl w:ilvl="2" w15:tentative="1">
      <w:start w:val="1"/>
      <w:numFmt w:val="bullet"/>
      <w:lvlText w:val="▪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2."/>
      <w:lvlJc w:val="left"/>
      <w:pPr>
        <w:ind w:left="1080" w:hanging="360"/>
      </w:pPr>
    </w:lvl>
    <w:lvl w:ilvl="2" w15:tentative="1">
      <w:start w:val="1"/>
      <w:numFmt w:val="decimal"/>
      <w:lvlText w:val="%3.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000000"/>
        <w:sz w:val="24"/>
        <w:szCs w:val="24"/>
      </w:rPr>
    </w:rPrDefault>
    <w:pPrDefault>
      <w:pPr>
        <w:spacing w:after="0" w:line="36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 w:line="240" w:lineRule="auto"/>
    </w:pPr>
    <w:rPr>
      <w:rFonts w:ascii="Microsoft YaHei" w:cs="Microsoft YaHei" w:eastAsia="Microsoft YaHei" w:hAnsi="Microsoft YaHei"/>
      <w:b/>
      <w:bCs/>
      <w:color w:val="00000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60" w:line="240" w:lineRule="auto"/>
    </w:pPr>
    <w:rPr>
      <w:rFonts w:ascii="Microsoft YaHei" w:cs="Microsoft YaHei" w:eastAsia="Microsoft YaHei" w:hAnsi="Microsoft YaHei"/>
      <w:b/>
      <w:bCs/>
      <w:color w:val="000000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80" w:before="240" w:line="240" w:lineRule="auto"/>
    </w:pPr>
    <w:rPr>
      <w:rFonts w:ascii="Microsoft YaHei" w:cs="Microsoft YaHei" w:eastAsia="Microsoft YaHei" w:hAnsi="Microsoft YaHei"/>
      <w:b/>
      <w:bCs/>
      <w:color w:val="000000"/>
      <w:sz w:val="26"/>
      <w:szCs w:val="26"/>
    </w:rPr>
  </w:style>
  <w:style w:type="paragraph" w:styleId="Heading4">
    <w:name w:val="Heading 4"/>
    <w:basedOn w:val="Normal"/>
    <w:next w:val="Normal"/>
    <w:qFormat/>
    <w:pPr>
      <w:spacing w:after="80" w:before="160" w:line="240" w:lineRule="auto"/>
    </w:pPr>
    <w:rPr>
      <w:rFonts w:ascii="Microsoft YaHei" w:cs="Microsoft YaHei" w:eastAsia="Microsoft YaHei" w:hAnsi="Microsoft YaHei"/>
      <w:b/>
      <w:bCs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spacing w:after="60" w:before="120" w:line="240" w:lineRule="auto"/>
    </w:pPr>
    <w:rPr>
      <w:rFonts w:ascii="Microsoft YaHei" w:cs="Microsoft YaHei" w:eastAsia="Microsoft YaHei" w:hAnsi="Microsoft YaHei"/>
      <w:b/>
      <w:bCs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spacing w:after="60" w:before="120" w:line="240" w:lineRule="auto"/>
    </w:pPr>
    <w:rPr>
      <w:rFonts w:ascii="Microsoft YaHei" w:cs="Microsoft YaHei" w:eastAsia="Microsoft YaHei" w:hAnsi="Microsoft YaHei"/>
      <w:b w:val="false"/>
      <w:bCs w:val="false"/>
      <w:color w:val="00000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 ECE R16.07 法规介绍</dc:title>
  <dc:creator>联合国欧洲经济委员会</dc:creator>
  <cp:lastModifiedBy>Un-named</cp:lastModifiedBy>
  <cp:revision>1</cp:revision>
  <dcterms:created xsi:type="dcterms:W3CDTF">2026-05-17T05:44:06.116Z</dcterms:created>
  <dcterms:modified xsi:type="dcterms:W3CDTF">2026-05-17T05:44:06.116Z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