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联合国欧洲经济委员会第21号法规</w:t>
      </w:r>
    </w:p>
    <w:p>
      <w:pPr>
        <w:spacing w:after="240"/>
        <w:ind w:firstLine="0"/>
        <w:jc w:val="center"/>
      </w:pPr>
      <w:r>
        <w:rPr>
          <w:rFonts w:ascii="Microsoft YaHei" w:cs="Microsoft YaHei" w:eastAsia="Microsoft YaHei" w:hAnsi="Microsoft YaHei"/>
          <w:color w:val="555555"/>
          <w:sz w:val="32"/>
          <w:szCs w:val="32"/>
        </w:rPr>
        <w:t xml:space="preserve">关于车辆内部安装件认证的统一规定
(UN ECE Regulation No. 21 - Interior Fittings)</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修订版 01系列 补充3 (2003年1月31日生效)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前言</w:t>
      </w:r>
    </w:p>
    <w:p>
      <w:pPr>
        <w:spacing w:after="0" w:line="360" w:lineRule="auto"/>
        <w:ind w:firstLine="480"/>
        <w:jc w:val="both"/>
      </w:pPr>
      <w:r>
        <w:rPr>
          <w:rFonts w:ascii="Microsoft YaHei" w:cs="Microsoft YaHei" w:eastAsia="Microsoft YaHei" w:hAnsi="Microsoft YaHei"/>
          <w:sz w:val="24"/>
          <w:szCs w:val="24"/>
        </w:rPr>
        <w:t xml:space="preserve">本法规依据联合国1958年3月20日在日内瓦通过的《关于轮式车辆安装及/或用在轮式车辆上的装备及零部件采用统一的技术法规以及满足这些法规的认证相互认可的条件的协议》制定。</w:t>
      </w:r>
    </w:p>
    <w:p>
      <w:pPr>
        <w:spacing w:after="0" w:line="360" w:lineRule="auto"/>
        <w:ind w:firstLine="480"/>
        <w:jc w:val="both"/>
      </w:pPr>
      <w:r>
        <w:rPr>
          <w:rFonts w:ascii="Microsoft YaHei" w:cs="Microsoft YaHei" w:eastAsia="Microsoft YaHei" w:hAnsi="Microsoft YaHei"/>
          <w:sz w:val="24"/>
          <w:szCs w:val="24"/>
        </w:rPr>
        <w:t xml:space="preserve">法规编号：E/ECE/324 Rev.1/Add.20/Rev.2/Amend.2</w:t>
      </w:r>
    </w:p>
    <w:p>
      <w:pPr>
        <w:spacing w:after="0" w:line="360" w:lineRule="auto"/>
        <w:ind w:firstLine="480"/>
        <w:jc w:val="both"/>
      </w:pPr>
      <w:r>
        <w:rPr>
          <w:rFonts w:ascii="Microsoft YaHei" w:cs="Microsoft YaHei" w:eastAsia="Microsoft YaHei" w:hAnsi="Microsoft YaHei"/>
          <w:sz w:val="24"/>
          <w:szCs w:val="24"/>
        </w:rPr>
        <w:t xml:space="preserve">生效日期：2003年1月31日</w:t>
      </w:r>
    </w:p>
    <w:p>
      <w:pPr>
        <w:spacing w:after="0" w:line="360" w:lineRule="auto"/>
        <w:ind w:firstLine="480"/>
        <w:jc w:val="both"/>
      </w:pPr>
      <w:r>
        <w:rPr>
          <w:rFonts w:ascii="Microsoft YaHei" w:cs="Microsoft YaHei" w:eastAsia="Microsoft YaHei" w:hAnsi="Microsoft YaHei"/>
          <w:sz w:val="24"/>
          <w:szCs w:val="24"/>
        </w:rPr>
        <w:t xml:space="preserve">本法规包含01系列修正案的补充3，适用于M1类车辆的内部安装件认证。</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1. 本法规适用于M1类车辆的内部安装件，包括：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除后视镜外的车室内所有零件；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操纵件的布置；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顶盖和活动顶盖，以及；</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座椅靠背和座椅后部零件；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车窗、车顶饰板及隔离系统的动力操作装置。</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spacing w:after="0" w:line="360" w:lineRule="auto"/>
        <w:ind w:firstLine="480"/>
        <w:jc w:val="both"/>
      </w:pPr>
      <w:r>
        <w:rPr>
          <w:rFonts w:ascii="Microsoft YaHei" w:cs="Microsoft YaHei" w:eastAsia="Microsoft YaHei" w:hAnsi="Microsoft YaHei"/>
          <w:sz w:val="24"/>
          <w:szCs w:val="24"/>
        </w:rPr>
        <w:t xml:space="preserve">就本法规而言，适用以下定义：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车辆认证</w:t>
      </w:r>
    </w:p>
    <w:p>
      <w:pPr>
        <w:spacing w:after="0" w:line="360" w:lineRule="auto"/>
        <w:ind w:firstLine="480"/>
        <w:jc w:val="both"/>
      </w:pPr>
      <w:r>
        <w:rPr>
          <w:rFonts w:ascii="Microsoft YaHei" w:cs="Microsoft YaHei" w:eastAsia="Microsoft YaHei" w:hAnsi="Microsoft YaHei"/>
          <w:sz w:val="24"/>
          <w:szCs w:val="24"/>
        </w:rPr>
        <w:t xml:space="preserve">"车辆认证"指就车辆内部安装件而言的车型认证。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2.2 车型</w:t>
      </w:r>
    </w:p>
    <w:p>
      <w:pPr>
        <w:spacing w:after="0" w:line="360" w:lineRule="auto"/>
        <w:ind w:firstLine="480"/>
        <w:jc w:val="both"/>
      </w:pPr>
      <w:r>
        <w:rPr>
          <w:rFonts w:ascii="Microsoft YaHei" w:cs="Microsoft YaHei" w:eastAsia="Microsoft YaHei" w:hAnsi="Microsoft YaHei"/>
          <w:sz w:val="24"/>
          <w:szCs w:val="24"/>
        </w:rPr>
        <w:t xml:space="preserve">"车型"就车室内安装件而言（不包括后视镜、操纵件的布置、顶盖或活动顶盖、座椅靠背和座椅后部件）指在以下主要方面并无差异的动力驱动车辆：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乘坐区的车体型线和构成材料；</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操纵件的布置；</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防护系统的性能，如果申请人选择按照附件VIII（动态评估）确定的头部碰撞区内的基准区域。</w:t>
      </w:r>
    </w:p>
    <w:p>
      <w:pPr>
        <w:spacing w:after="0" w:line="360" w:lineRule="auto"/>
        <w:ind w:firstLine="480"/>
        <w:jc w:val="both"/>
      </w:pPr>
      <w:r>
        <w:rPr>
          <w:rFonts w:ascii="Microsoft YaHei" w:cs="Microsoft YaHei" w:eastAsia="Microsoft YaHei" w:hAnsi="Microsoft YaHei"/>
          <w:sz w:val="24"/>
          <w:szCs w:val="24"/>
        </w:rPr>
        <w:t xml:space="preserve">仅在防护系统性能方面存在差异的车辆，如果其提供的乘员保护水平与提交给负责进行认证测试的技术服务机构进行测试的系统或车辆相当或更好，则属于同一车型。</w:t>
      </w:r>
    </w:p>
    <w:p>
      <w:pPr>
        <w:pStyle w:val="Heading2"/>
        <w:spacing w:after="120" w:before="360"/>
        <w:ind w:left="0" w:firstLine="0"/>
      </w:pPr>
      <w:r>
        <w:rPr>
          <w:rFonts w:ascii="Microsoft YaHei" w:cs="Microsoft YaHei" w:eastAsia="Microsoft YaHei" w:hAnsi="Microsoft YaHei"/>
          <w:b/>
          <w:bCs/>
          <w:color w:val="2F5496"/>
          <w:sz w:val="30"/>
          <w:szCs w:val="30"/>
        </w:rPr>
        <w:t xml:space="preserve">2.3 基准区域</w:t>
      </w:r>
    </w:p>
    <w:p>
      <w:pPr>
        <w:spacing w:after="0" w:line="360" w:lineRule="auto"/>
        <w:ind w:firstLine="480"/>
        <w:jc w:val="both"/>
      </w:pPr>
      <w:r>
        <w:rPr>
          <w:rFonts w:ascii="Microsoft YaHei" w:cs="Microsoft YaHei" w:eastAsia="Microsoft YaHei" w:hAnsi="Microsoft YaHei"/>
          <w:sz w:val="24"/>
          <w:szCs w:val="24"/>
        </w:rPr>
        <w:t xml:space="preserve">"基准区域"指本法规附录1中定义的头部碰撞区。不包括：</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转向操纵件处于直线正前驾驶位置时，转向操纵件的外边界外扩127mm后的前向水平投影区域，其下边界为与转向操纵件下边缘相切水平面；</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上述第2.3.1条所规定的区域边界与汽车侧围里板之间所包含的仪表板表面部分；下边界为与方向盘下缘相切的水平面；以及</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风窗两侧的立柱。</w:t>
      </w:r>
    </w:p>
    <w:p>
      <w:pPr>
        <w:pStyle w:val="Heading2"/>
        <w:spacing w:after="120" w:before="360"/>
        <w:ind w:left="0" w:firstLine="0"/>
      </w:pPr>
      <w:r>
        <w:rPr>
          <w:rFonts w:ascii="Microsoft YaHei" w:cs="Microsoft YaHei" w:eastAsia="Microsoft YaHei" w:hAnsi="Microsoft YaHei"/>
          <w:b/>
          <w:bCs/>
          <w:color w:val="2F5496"/>
          <w:sz w:val="30"/>
          <w:szCs w:val="30"/>
        </w:rPr>
        <w:t xml:space="preserve">2.4 仪表板水平线</w:t>
      </w:r>
    </w:p>
    <w:p>
      <w:pPr>
        <w:spacing w:after="0" w:line="360" w:lineRule="auto"/>
        <w:ind w:firstLine="480"/>
        <w:jc w:val="both"/>
      </w:pPr>
      <w:r>
        <w:rPr>
          <w:rFonts w:ascii="Microsoft YaHei" w:cs="Microsoft YaHei" w:eastAsia="Microsoft YaHei" w:hAnsi="Microsoft YaHei"/>
          <w:sz w:val="24"/>
          <w:szCs w:val="24"/>
        </w:rPr>
        <w:t xml:space="preserve">"仪表板水平线"指与仪表板垂直相切的切点所定义的线。</w:t>
      </w:r>
    </w:p>
    <w:p>
      <w:pPr>
        <w:pStyle w:val="Heading2"/>
        <w:spacing w:after="120" w:before="360"/>
        <w:ind w:left="0" w:firstLine="0"/>
      </w:pPr>
      <w:r>
        <w:rPr>
          <w:rFonts w:ascii="Microsoft YaHei" w:cs="Microsoft YaHei" w:eastAsia="Microsoft YaHei" w:hAnsi="Microsoft YaHei"/>
          <w:b/>
          <w:bCs/>
          <w:color w:val="2F5496"/>
          <w:sz w:val="30"/>
          <w:szCs w:val="30"/>
        </w:rPr>
        <w:t xml:space="preserve">2.5 顶盖</w:t>
      </w:r>
    </w:p>
    <w:p>
      <w:pPr>
        <w:spacing w:after="0" w:line="360" w:lineRule="auto"/>
        <w:ind w:firstLine="480"/>
        <w:jc w:val="both"/>
      </w:pPr>
      <w:r>
        <w:rPr>
          <w:rFonts w:ascii="Microsoft YaHei" w:cs="Microsoft YaHei" w:eastAsia="Microsoft YaHei" w:hAnsi="Microsoft YaHei"/>
          <w:sz w:val="24"/>
          <w:szCs w:val="24"/>
        </w:rPr>
        <w:t xml:space="preserve">"顶盖"指车身的顶部，由前风窗上边缘起，后窗上边缘止，由两侧上部结构所围成的部分。</w:t>
      </w:r>
    </w:p>
    <w:p>
      <w:pPr>
        <w:pStyle w:val="Heading2"/>
        <w:spacing w:after="120" w:before="360"/>
        <w:ind w:left="0" w:firstLine="0"/>
      </w:pPr>
      <w:r>
        <w:rPr>
          <w:rFonts w:ascii="Microsoft YaHei" w:cs="Microsoft YaHei" w:eastAsia="Microsoft YaHei" w:hAnsi="Microsoft YaHei"/>
          <w:b/>
          <w:bCs/>
          <w:color w:val="2F5496"/>
          <w:sz w:val="30"/>
          <w:szCs w:val="30"/>
        </w:rPr>
        <w:t xml:space="preserve">2.6 腰线</w:t>
      </w:r>
    </w:p>
    <w:p>
      <w:pPr>
        <w:spacing w:after="0" w:line="360" w:lineRule="auto"/>
        <w:ind w:firstLine="480"/>
        <w:jc w:val="both"/>
      </w:pPr>
      <w:r>
        <w:rPr>
          <w:rFonts w:ascii="Microsoft YaHei" w:cs="Microsoft YaHei" w:eastAsia="Microsoft YaHei" w:hAnsi="Microsoft YaHei"/>
          <w:sz w:val="24"/>
          <w:szCs w:val="24"/>
        </w:rPr>
        <w:t xml:space="preserve">"腰线"指车辆侧窗的透明下轮廓构成的线条。</w:t>
      </w:r>
    </w:p>
    <w:p>
      <w:pPr>
        <w:pStyle w:val="Heading2"/>
        <w:spacing w:after="120" w:before="360"/>
        <w:ind w:left="0" w:firstLine="0"/>
      </w:pPr>
      <w:r>
        <w:rPr>
          <w:rFonts w:ascii="Microsoft YaHei" w:cs="Microsoft YaHei" w:eastAsia="Microsoft YaHei" w:hAnsi="Microsoft YaHei"/>
          <w:b/>
          <w:bCs/>
          <w:color w:val="2F5496"/>
          <w:sz w:val="30"/>
          <w:szCs w:val="30"/>
        </w:rPr>
        <w:t xml:space="preserve">2.7 敞篷车辆</w:t>
      </w:r>
    </w:p>
    <w:p>
      <w:pPr>
        <w:spacing w:after="0" w:line="360" w:lineRule="auto"/>
        <w:ind w:firstLine="480"/>
        <w:jc w:val="both"/>
      </w:pPr>
      <w:r>
        <w:rPr>
          <w:rFonts w:ascii="Microsoft YaHei" w:cs="Microsoft YaHei" w:eastAsia="Microsoft YaHei" w:hAnsi="Microsoft YaHei"/>
          <w:sz w:val="24"/>
          <w:szCs w:val="24"/>
        </w:rPr>
        <w:t xml:space="preserve">"敞篷车辆"指在某种状态下，除了前顶盖支撑件和/或稳定杆和/或安全带安装固定点外，腰线以上车身结构无刚性构件的车辆。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2.8 活顶车辆</w:t>
      </w:r>
    </w:p>
    <w:p>
      <w:pPr>
        <w:spacing w:after="0" w:line="360" w:lineRule="auto"/>
        <w:ind w:firstLine="480"/>
        <w:jc w:val="both"/>
      </w:pPr>
      <w:r>
        <w:rPr>
          <w:rFonts w:ascii="Microsoft YaHei" w:cs="Microsoft YaHei" w:eastAsia="Microsoft YaHei" w:hAnsi="Microsoft YaHei"/>
          <w:sz w:val="24"/>
          <w:szCs w:val="24"/>
        </w:rPr>
        <w:t xml:space="preserve">"活顶车辆"指只有顶盖或其部分能向后折叠或开启或滑动，而腰线以上车辆结构件维持不动的车辆。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2.9 折叠座椅</w:t>
      </w:r>
    </w:p>
    <w:p>
      <w:pPr>
        <w:spacing w:after="0" w:line="360" w:lineRule="auto"/>
        <w:ind w:firstLine="480"/>
        <w:jc w:val="both"/>
      </w:pPr>
      <w:r>
        <w:rPr>
          <w:rFonts w:ascii="Microsoft YaHei" w:cs="Microsoft YaHei" w:eastAsia="Microsoft YaHei" w:hAnsi="Microsoft YaHei"/>
          <w:sz w:val="24"/>
          <w:szCs w:val="24"/>
        </w:rPr>
        <w:t xml:space="preserve">"折叠座椅"指临时使用的辅助座椅，通常情况下是折叠的。</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认证申请</w:t>
      </w:r>
    </w:p>
    <w:p>
      <w:pPr>
        <w:pStyle w:val="Heading2"/>
        <w:spacing w:after="120" w:before="360"/>
        <w:ind w:left="0" w:firstLine="0"/>
      </w:pPr>
      <w:r>
        <w:rPr>
          <w:rFonts w:ascii="Microsoft YaHei" w:cs="Microsoft YaHei" w:eastAsia="Microsoft YaHei" w:hAnsi="Microsoft YaHei"/>
          <w:b/>
          <w:bCs/>
          <w:color w:val="2F5496"/>
          <w:sz w:val="30"/>
          <w:szCs w:val="30"/>
        </w:rPr>
        <w:t xml:space="preserve">3.1 申请程序</w:t>
      </w:r>
    </w:p>
    <w:p>
      <w:pPr>
        <w:spacing w:after="0" w:line="360" w:lineRule="auto"/>
        <w:ind w:firstLine="480"/>
        <w:jc w:val="both"/>
      </w:pPr>
      <w:r>
        <w:rPr>
          <w:rFonts w:ascii="Microsoft YaHei" w:cs="Microsoft YaHei" w:eastAsia="Microsoft YaHei" w:hAnsi="Microsoft YaHei"/>
          <w:sz w:val="24"/>
          <w:szCs w:val="24"/>
        </w:rPr>
        <w:t xml:space="preserve">关于车辆内部安装件的认证申请应由车辆制造商或其正式指定的代表提出。</w:t>
      </w:r>
    </w:p>
    <w:p>
      <w:pPr>
        <w:pStyle w:val="Heading2"/>
        <w:spacing w:after="120" w:before="360"/>
        <w:ind w:left="0" w:firstLine="0"/>
      </w:pPr>
      <w:r>
        <w:rPr>
          <w:rFonts w:ascii="Microsoft YaHei" w:cs="Microsoft YaHei" w:eastAsia="Microsoft YaHei" w:hAnsi="Microsoft YaHei"/>
          <w:b/>
          <w:bCs/>
          <w:color w:val="2F5496"/>
          <w:sz w:val="30"/>
          <w:szCs w:val="30"/>
        </w:rPr>
        <w:t xml:space="preserve">3.2 申请材料</w:t>
      </w:r>
    </w:p>
    <w:p>
      <w:pPr>
        <w:spacing w:after="0" w:line="360" w:lineRule="auto"/>
        <w:ind w:firstLine="480"/>
        <w:jc w:val="both"/>
      </w:pPr>
      <w:r>
        <w:rPr>
          <w:rFonts w:ascii="Microsoft YaHei" w:cs="Microsoft YaHei" w:eastAsia="Microsoft YaHei" w:hAnsi="Microsoft YaHei"/>
          <w:sz w:val="24"/>
          <w:szCs w:val="24"/>
        </w:rPr>
        <w:t xml:space="preserve">申请应附有以下文件，一式三份：</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车辆的详细说明，包括尺寸、外形和构成材料；</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表明内部安装件布置的图纸；</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有关座椅及其安装的详细说明；</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有关内部装饰件材料的说明。</w:t>
      </w:r>
    </w:p>
    <w:p>
      <w:pPr>
        <w:pStyle w:val="Heading2"/>
        <w:spacing w:after="120" w:before="360"/>
        <w:ind w:left="0" w:firstLine="0"/>
      </w:pPr>
      <w:r>
        <w:rPr>
          <w:rFonts w:ascii="Microsoft YaHei" w:cs="Microsoft YaHei" w:eastAsia="Microsoft YaHei" w:hAnsi="Microsoft YaHei"/>
          <w:b/>
          <w:bCs/>
          <w:color w:val="2F5496"/>
          <w:sz w:val="30"/>
          <w:szCs w:val="30"/>
        </w:rPr>
        <w:t xml:space="preserve">3.3 样车提交</w:t>
      </w:r>
    </w:p>
    <w:p>
      <w:pPr>
        <w:spacing w:after="0" w:line="360" w:lineRule="auto"/>
        <w:ind w:firstLine="480"/>
        <w:jc w:val="both"/>
      </w:pPr>
      <w:r>
        <w:rPr>
          <w:rFonts w:ascii="Microsoft YaHei" w:cs="Microsoft YaHei" w:eastAsia="Microsoft YaHei" w:hAnsi="Microsoft YaHei"/>
          <w:sz w:val="24"/>
          <w:szCs w:val="24"/>
        </w:rPr>
        <w:t xml:space="preserve">申请认证的车辆应提交给负责进行认证测试的技术服务机构。</w:t>
      </w:r>
    </w:p>
    <w:p>
      <w:pPr>
        <w:spacing w:after="0" w:line="360" w:lineRule="auto"/>
        <w:ind w:firstLine="480"/>
        <w:jc w:val="both"/>
      </w:pPr>
      <w:r>
        <w:rPr>
          <w:rFonts w:ascii="Microsoft YaHei" w:cs="Microsoft YaHei" w:eastAsia="Microsoft YaHei" w:hAnsi="Microsoft YaHei"/>
          <w:sz w:val="24"/>
          <w:szCs w:val="24"/>
        </w:rPr>
        <w:t xml:space="preserve">技术服务机构可以要求提交其他样车进行测试。</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4.1 认证条件</w:t>
      </w:r>
    </w:p>
    <w:p>
      <w:pPr>
        <w:spacing w:after="0" w:line="360" w:lineRule="auto"/>
        <w:ind w:firstLine="480"/>
        <w:jc w:val="both"/>
      </w:pPr>
      <w:r>
        <w:rPr>
          <w:rFonts w:ascii="Microsoft YaHei" w:cs="Microsoft YaHei" w:eastAsia="Microsoft YaHei" w:hAnsi="Microsoft YaHei"/>
          <w:sz w:val="24"/>
          <w:szCs w:val="24"/>
        </w:rPr>
        <w:t xml:space="preserve">符合本法规要求的车型应获得认证批准。</w:t>
      </w:r>
    </w:p>
    <w:p>
      <w:pPr>
        <w:pStyle w:val="Heading2"/>
        <w:spacing w:after="120" w:before="360"/>
        <w:ind w:left="0" w:firstLine="0"/>
      </w:pPr>
      <w:r>
        <w:rPr>
          <w:rFonts w:ascii="Microsoft YaHei" w:cs="Microsoft YaHei" w:eastAsia="Microsoft YaHei" w:hAnsi="Microsoft YaHei"/>
          <w:b/>
          <w:bCs/>
          <w:color w:val="2F5496"/>
          <w:sz w:val="30"/>
          <w:szCs w:val="30"/>
        </w:rPr>
        <w:t xml:space="preserve">4.2 认证标志</w:t>
      </w:r>
    </w:p>
    <w:p>
      <w:pPr>
        <w:spacing w:after="0" w:line="360" w:lineRule="auto"/>
        <w:ind w:firstLine="480"/>
        <w:jc w:val="both"/>
      </w:pPr>
      <w:r>
        <w:rPr>
          <w:rFonts w:ascii="Microsoft YaHei" w:cs="Microsoft YaHei" w:eastAsia="Microsoft YaHei" w:hAnsi="Microsoft YaHei"/>
          <w:sz w:val="24"/>
          <w:szCs w:val="24"/>
        </w:rPr>
        <w:t xml:space="preserve">每一获得认证的车辆应在其显著位置标有认证标志。认证标志应包括：</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圆圈内的大写字母"E"，后跟批准认证国家的识别号；</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本法规编号，后跟认证号。</w:t>
      </w:r>
    </w:p>
    <w:p>
      <w:pPr>
        <w:pStyle w:val="Heading2"/>
        <w:spacing w:after="120" w:before="360"/>
        <w:ind w:left="0" w:firstLine="0"/>
      </w:pPr>
      <w:r>
        <w:rPr>
          <w:rFonts w:ascii="Microsoft YaHei" w:cs="Microsoft YaHei" w:eastAsia="Microsoft YaHei" w:hAnsi="Microsoft YaHei"/>
          <w:b/>
          <w:bCs/>
          <w:color w:val="2F5496"/>
          <w:sz w:val="30"/>
          <w:szCs w:val="30"/>
        </w:rPr>
        <w:t xml:space="preserve">4.3 认证证书</w:t>
      </w:r>
    </w:p>
    <w:p>
      <w:pPr>
        <w:spacing w:after="0" w:line="360" w:lineRule="auto"/>
        <w:ind w:firstLine="480"/>
        <w:jc w:val="both"/>
      </w:pPr>
      <w:r>
        <w:rPr>
          <w:rFonts w:ascii="Microsoft YaHei" w:cs="Microsoft YaHei" w:eastAsia="Microsoft YaHei" w:hAnsi="Microsoft YaHei"/>
          <w:sz w:val="24"/>
          <w:szCs w:val="24"/>
        </w:rPr>
        <w:t xml:space="preserve">认证批准、认证扩展、认证拒绝、认证撤销或正式停产的通知书应按照本法规附录2规定的格式通知各缔约方。</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要求特性</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一般要求</w:t>
      </w:r>
    </w:p>
    <w:p>
      <w:pPr>
        <w:spacing w:after="0" w:line="360" w:lineRule="auto"/>
        <w:ind w:firstLine="480"/>
        <w:jc w:val="both"/>
      </w:pPr>
      <w:r>
        <w:rPr>
          <w:rFonts w:ascii="Microsoft YaHei" w:cs="Microsoft YaHei" w:eastAsia="Microsoft YaHei" w:hAnsi="Microsoft YaHei"/>
          <w:sz w:val="24"/>
          <w:szCs w:val="24"/>
        </w:rPr>
        <w:t xml:space="preserve">5.1.1 车辆内部安装件的设计和制造应确保在车辆正常使用过程中，最大限度地减少对乘员造成伤害的风险。</w:t>
      </w:r>
    </w:p>
    <w:p>
      <w:pPr>
        <w:spacing w:after="0" w:line="360" w:lineRule="auto"/>
        <w:ind w:firstLine="480"/>
        <w:jc w:val="both"/>
      </w:pPr>
      <w:r>
        <w:rPr>
          <w:rFonts w:ascii="Microsoft YaHei" w:cs="Microsoft YaHei" w:eastAsia="Microsoft YaHei" w:hAnsi="Microsoft YaHei"/>
          <w:sz w:val="24"/>
          <w:szCs w:val="24"/>
        </w:rPr>
        <w:t xml:space="preserve">5.1.2 内部安装件不应有危险的尖锐边缘或凸出物。</w:t>
      </w:r>
    </w:p>
    <w:p>
      <w:pPr>
        <w:spacing w:after="0" w:line="360" w:lineRule="auto"/>
        <w:ind w:firstLine="480"/>
        <w:jc w:val="both"/>
      </w:pPr>
      <w:r>
        <w:rPr>
          <w:rFonts w:ascii="Microsoft YaHei" w:cs="Microsoft YaHei" w:eastAsia="Microsoft YaHei" w:hAnsi="Microsoft YaHei"/>
          <w:sz w:val="24"/>
          <w:szCs w:val="24"/>
        </w:rPr>
        <w:t xml:space="preserve">5.1.3 内部安装件应牢固安装，不得在正常使用条件下松动或脱落。</w:t>
      </w:r>
    </w:p>
    <w:p>
      <w:pPr>
        <w:pStyle w:val="Heading2"/>
        <w:spacing w:after="120" w:before="360"/>
        <w:ind w:left="0" w:firstLine="0"/>
      </w:pPr>
      <w:r>
        <w:rPr>
          <w:rFonts w:ascii="Microsoft YaHei" w:cs="Microsoft YaHei" w:eastAsia="Microsoft YaHei" w:hAnsi="Microsoft YaHei"/>
          <w:b/>
          <w:bCs/>
          <w:color w:val="2F5496"/>
          <w:sz w:val="30"/>
          <w:szCs w:val="30"/>
        </w:rPr>
        <w:t xml:space="preserve">5.2 头部碰撞区要求</w:t>
      </w:r>
    </w:p>
    <w:p>
      <w:pPr>
        <w:spacing w:after="0" w:line="360" w:lineRule="auto"/>
        <w:ind w:firstLine="480"/>
        <w:jc w:val="both"/>
      </w:pPr>
      <w:r>
        <w:rPr>
          <w:rFonts w:ascii="Microsoft YaHei" w:cs="Microsoft YaHei" w:eastAsia="Microsoft YaHei" w:hAnsi="Microsoft YaHei"/>
          <w:sz w:val="24"/>
          <w:szCs w:val="24"/>
        </w:rPr>
        <w:t xml:space="preserve">5.2.1 在基准区域内，当头部形状冲击器以24.1 km/h的速度撞击时，其减速度不得超过80g，且持续时间不得超过3毫秒。</w:t>
      </w:r>
    </w:p>
    <w:p>
      <w:pPr>
        <w:spacing w:after="0" w:line="360" w:lineRule="auto"/>
        <w:ind w:firstLine="480"/>
        <w:jc w:val="both"/>
      </w:pPr>
      <w:r>
        <w:rPr>
          <w:rFonts w:ascii="Microsoft YaHei" w:cs="Microsoft YaHei" w:eastAsia="Microsoft YaHei" w:hAnsi="Microsoft YaHei"/>
          <w:sz w:val="24"/>
          <w:szCs w:val="24"/>
        </w:rPr>
        <w:t xml:space="preserve">5.2.2 头部碰撞区的确定方法见本法规附录1。</w:t>
      </w:r>
    </w:p>
    <w:p>
      <w:pPr>
        <w:spacing w:after="0" w:line="360" w:lineRule="auto"/>
        <w:ind w:firstLine="480"/>
        <w:jc w:val="both"/>
      </w:pPr>
      <w:r>
        <w:rPr>
          <w:rFonts w:ascii="Microsoft YaHei" w:cs="Microsoft YaHei" w:eastAsia="Microsoft YaHei" w:hAnsi="Microsoft YaHei"/>
          <w:sz w:val="24"/>
          <w:szCs w:val="24"/>
        </w:rPr>
        <w:t xml:space="preserve">5.2.3 对于采用动态评估方法的情况，见本法规附录8。</w:t>
      </w:r>
    </w:p>
    <w:p>
      <w:pPr>
        <w:pStyle w:val="Heading2"/>
        <w:spacing w:after="120" w:before="360"/>
        <w:ind w:left="0" w:firstLine="0"/>
      </w:pPr>
      <w:r>
        <w:rPr>
          <w:rFonts w:ascii="Microsoft YaHei" w:cs="Microsoft YaHei" w:eastAsia="Microsoft YaHei" w:hAnsi="Microsoft YaHei"/>
          <w:b/>
          <w:bCs/>
          <w:color w:val="2F5496"/>
          <w:sz w:val="30"/>
          <w:szCs w:val="30"/>
        </w:rPr>
        <w:t xml:space="preserve">5.3 仪表板要求</w:t>
      </w:r>
    </w:p>
    <w:p>
      <w:pPr>
        <w:spacing w:after="0" w:line="360" w:lineRule="auto"/>
        <w:ind w:firstLine="480"/>
        <w:jc w:val="both"/>
      </w:pPr>
      <w:r>
        <w:rPr>
          <w:rFonts w:ascii="Microsoft YaHei" w:cs="Microsoft YaHei" w:eastAsia="Microsoft YaHei" w:hAnsi="Microsoft YaHei"/>
          <w:sz w:val="24"/>
          <w:szCs w:val="24"/>
        </w:rPr>
        <w:t xml:space="preserve">5.3.1 仪表板上所有位于基准区域内的部件，在受到头部形状冲击器撞击时，应满足5.2.1条的要求。</w:t>
      </w:r>
    </w:p>
    <w:p>
      <w:pPr>
        <w:spacing w:after="0" w:line="360" w:lineRule="auto"/>
        <w:ind w:firstLine="480"/>
        <w:jc w:val="both"/>
      </w:pPr>
      <w:r>
        <w:rPr>
          <w:rFonts w:ascii="Microsoft YaHei" w:cs="Microsoft YaHei" w:eastAsia="Microsoft YaHei" w:hAnsi="Microsoft YaHei"/>
          <w:sz w:val="24"/>
          <w:szCs w:val="24"/>
        </w:rPr>
        <w:t xml:space="preserve">5.3.2 仪表板上的凸出物应符合本法规附录6规定的测量方法和限值要求。</w:t>
      </w:r>
    </w:p>
    <w:p>
      <w:pPr>
        <w:spacing w:after="0" w:line="360" w:lineRule="auto"/>
        <w:ind w:firstLine="480"/>
        <w:jc w:val="both"/>
      </w:pPr>
      <w:r>
        <w:rPr>
          <w:rFonts w:ascii="Microsoft YaHei" w:cs="Microsoft YaHei" w:eastAsia="Microsoft YaHei" w:hAnsi="Microsoft YaHei"/>
          <w:sz w:val="24"/>
          <w:szCs w:val="24"/>
        </w:rPr>
        <w:t xml:space="preserve">5.3.3 仪表板水平线以下的部分，其凸出物高度不得超过25mm；对于采用吸能材料的情况，凸出物高度不得超过35mm。</w:t>
      </w:r>
    </w:p>
    <w:p>
      <w:pPr>
        <w:pStyle w:val="Heading2"/>
        <w:spacing w:after="120" w:before="360"/>
        <w:ind w:left="0" w:firstLine="0"/>
      </w:pPr>
      <w:r>
        <w:rPr>
          <w:rFonts w:ascii="Microsoft YaHei" w:cs="Microsoft YaHei" w:eastAsia="Microsoft YaHei" w:hAnsi="Microsoft YaHei"/>
          <w:b/>
          <w:bCs/>
          <w:color w:val="2F5496"/>
          <w:sz w:val="30"/>
          <w:szCs w:val="30"/>
        </w:rPr>
        <w:t xml:space="preserve">5.4 顶盖要求</w:t>
      </w:r>
    </w:p>
    <w:p>
      <w:pPr>
        <w:spacing w:after="0" w:line="360" w:lineRule="auto"/>
        <w:ind w:firstLine="480"/>
        <w:jc w:val="both"/>
      </w:pPr>
      <w:r>
        <w:rPr>
          <w:rFonts w:ascii="Microsoft YaHei" w:cs="Microsoft YaHei" w:eastAsia="Microsoft YaHei" w:hAnsi="Microsoft YaHei"/>
          <w:sz w:val="24"/>
          <w:szCs w:val="24"/>
        </w:rPr>
        <w:t xml:space="preserve">5.4.1 顶盖内部表面不得有危险的凸出物。</w:t>
      </w:r>
    </w:p>
    <w:p>
      <w:pPr>
        <w:spacing w:after="0" w:line="360" w:lineRule="auto"/>
        <w:ind w:firstLine="480"/>
        <w:jc w:val="both"/>
      </w:pPr>
      <w:r>
        <w:rPr>
          <w:rFonts w:ascii="Microsoft YaHei" w:cs="Microsoft YaHei" w:eastAsia="Microsoft YaHei" w:hAnsi="Microsoft YaHei"/>
          <w:sz w:val="24"/>
          <w:szCs w:val="24"/>
        </w:rPr>
        <w:t xml:space="preserve">5.4.2 顶盖上的凸出物应符合以下要求：</w:t>
      </w:r>
    </w:p>
    <w:p>
      <w:pPr>
        <w:pStyle w:val="ListParagraph"/>
        <w:numPr>
          <w:ilvl w:val="0"/>
          <w:numId w:val="7"/>
        </w:numPr>
        <w:spacing w:after="60" w:line="360" w:lineRule="auto"/>
      </w:pPr>
      <w:r>
        <w:rPr>
          <w:rFonts w:ascii="Microsoft YaHei" w:cs="Microsoft YaHei" w:eastAsia="Microsoft YaHei" w:hAnsi="Microsoft YaHei"/>
          <w:sz w:val="24"/>
          <w:szCs w:val="24"/>
        </w:rPr>
        <w:t xml:space="preserve">凸出物高度不得超过25mm；</w:t>
      </w:r>
    </w:p>
    <w:p>
      <w:pPr>
        <w:pStyle w:val="ListParagraph"/>
        <w:numPr>
          <w:ilvl w:val="0"/>
          <w:numId w:val="7"/>
        </w:numPr>
        <w:spacing w:after="60" w:line="360" w:lineRule="auto"/>
      </w:pPr>
      <w:r>
        <w:rPr>
          <w:rFonts w:ascii="Microsoft YaHei" w:cs="Microsoft YaHei" w:eastAsia="Microsoft YaHei" w:hAnsi="Microsoft YaHei"/>
          <w:sz w:val="24"/>
          <w:szCs w:val="24"/>
        </w:rPr>
        <w:t xml:space="preserve">凸出物边缘半径不得小于5mm；</w:t>
      </w:r>
    </w:p>
    <w:p>
      <w:pPr>
        <w:pStyle w:val="ListParagraph"/>
        <w:numPr>
          <w:ilvl w:val="0"/>
          <w:numId w:val="7"/>
        </w:numPr>
        <w:spacing w:after="60" w:line="360" w:lineRule="auto"/>
      </w:pPr>
      <w:r>
        <w:rPr>
          <w:rFonts w:ascii="Microsoft YaHei" w:cs="Microsoft YaHei" w:eastAsia="Microsoft YaHei" w:hAnsi="Microsoft YaHei"/>
          <w:sz w:val="24"/>
          <w:szCs w:val="24"/>
        </w:rPr>
        <w:t xml:space="preserve">凸出物应采用吸能材料或具有圆滑过渡。</w:t>
      </w:r>
    </w:p>
    <w:p>
      <w:pPr>
        <w:pStyle w:val="Heading2"/>
        <w:spacing w:after="120" w:before="360"/>
        <w:ind w:left="0" w:firstLine="0"/>
      </w:pPr>
      <w:r>
        <w:rPr>
          <w:rFonts w:ascii="Microsoft YaHei" w:cs="Microsoft YaHei" w:eastAsia="Microsoft YaHei" w:hAnsi="Microsoft YaHei"/>
          <w:b/>
          <w:bCs/>
          <w:color w:val="2F5496"/>
          <w:sz w:val="30"/>
          <w:szCs w:val="30"/>
        </w:rPr>
        <w:t xml:space="preserve">5.5 座椅要求</w:t>
      </w:r>
    </w:p>
    <w:p>
      <w:pPr>
        <w:spacing w:after="0" w:line="360" w:lineRule="auto"/>
        <w:ind w:firstLine="480"/>
        <w:jc w:val="both"/>
      </w:pPr>
      <w:r>
        <w:rPr>
          <w:rFonts w:ascii="Microsoft YaHei" w:cs="Microsoft YaHei" w:eastAsia="Microsoft YaHei" w:hAnsi="Microsoft YaHei"/>
          <w:sz w:val="24"/>
          <w:szCs w:val="24"/>
        </w:rPr>
        <w:t xml:space="preserve">5.5.1 座椅靠背的后表面应满足与仪表板相同的要求。</w:t>
      </w:r>
    </w:p>
    <w:p>
      <w:pPr>
        <w:spacing w:after="0" w:line="360" w:lineRule="auto"/>
        <w:ind w:firstLine="480"/>
        <w:jc w:val="both"/>
      </w:pPr>
      <w:r>
        <w:rPr>
          <w:rFonts w:ascii="Microsoft YaHei" w:cs="Microsoft YaHei" w:eastAsia="Microsoft YaHei" w:hAnsi="Microsoft YaHei"/>
          <w:sz w:val="24"/>
          <w:szCs w:val="24"/>
        </w:rPr>
        <w:t xml:space="preserve">5.5.2 座椅后部的零件不得有危险的凸出物。</w:t>
      </w:r>
    </w:p>
    <w:p>
      <w:pPr>
        <w:spacing w:after="0" w:line="360" w:lineRule="auto"/>
        <w:ind w:firstLine="480"/>
        <w:jc w:val="both"/>
      </w:pPr>
      <w:r>
        <w:rPr>
          <w:rFonts w:ascii="Microsoft YaHei" w:cs="Microsoft YaHei" w:eastAsia="Microsoft YaHei" w:hAnsi="Microsoft YaHei"/>
          <w:sz w:val="24"/>
          <w:szCs w:val="24"/>
        </w:rPr>
        <w:t xml:space="preserve">5.5.3 折叠座椅在折叠状态下，其暴露表面应满足本法规的相关要求。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5.6 操纵件要求</w:t>
      </w:r>
    </w:p>
    <w:p>
      <w:pPr>
        <w:spacing w:after="0" w:line="360" w:lineRule="auto"/>
        <w:ind w:firstLine="480"/>
        <w:jc w:val="both"/>
      </w:pPr>
      <w:r>
        <w:rPr>
          <w:rFonts w:ascii="Microsoft YaHei" w:cs="Microsoft YaHei" w:eastAsia="Microsoft YaHei" w:hAnsi="Microsoft YaHei"/>
          <w:sz w:val="24"/>
          <w:szCs w:val="24"/>
        </w:rPr>
        <w:t xml:space="preserve">5.6.1 操纵件的布置应确保其在正常使用过程中不会对乘员造成伤害。</w:t>
      </w:r>
    </w:p>
    <w:p>
      <w:pPr>
        <w:spacing w:after="0" w:line="360" w:lineRule="auto"/>
        <w:ind w:firstLine="480"/>
        <w:jc w:val="both"/>
      </w:pPr>
      <w:r>
        <w:rPr>
          <w:rFonts w:ascii="Microsoft YaHei" w:cs="Microsoft YaHei" w:eastAsia="Microsoft YaHei" w:hAnsi="Microsoft YaHei"/>
          <w:sz w:val="24"/>
          <w:szCs w:val="24"/>
        </w:rPr>
        <w:t xml:space="preserve">5.6.2 操纵件的凸出物高度和形状应符合本法规附录6的要求。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5.7 车窗和活动顶盖的动力操作</w:t>
      </w:r>
    </w:p>
    <w:p>
      <w:pPr>
        <w:spacing w:after="0" w:line="360" w:lineRule="auto"/>
        <w:ind w:firstLine="480"/>
        <w:jc w:val="both"/>
      </w:pPr>
      <w:r>
        <w:rPr>
          <w:rFonts w:ascii="Microsoft YaHei" w:cs="Microsoft YaHei" w:eastAsia="Microsoft YaHei" w:hAnsi="Microsoft YaHei"/>
          <w:sz w:val="24"/>
          <w:szCs w:val="24"/>
        </w:rPr>
        <w:t xml:space="preserve">5.7.1 动力操作的车窗、顶盖和隔离系统应配备安全装置，以防止对乘员造成挤压伤害。</w:t>
      </w:r>
    </w:p>
    <w:p>
      <w:pPr>
        <w:spacing w:after="0" w:line="360" w:lineRule="auto"/>
        <w:ind w:firstLine="480"/>
        <w:jc w:val="both"/>
      </w:pPr>
      <w:r>
        <w:rPr>
          <w:rFonts w:ascii="Microsoft YaHei" w:cs="Microsoft YaHei" w:eastAsia="Microsoft YaHei" w:hAnsi="Microsoft YaHei"/>
          <w:sz w:val="24"/>
          <w:szCs w:val="24"/>
        </w:rPr>
        <w:t xml:space="preserve">5.7.2 当检测到障碍物时，动力操作系统应能自动停止或反向运动。</w:t>
      </w:r>
    </w:p>
    <w:p>
      <w:pPr>
        <w:spacing w:after="0" w:line="360" w:lineRule="auto"/>
        <w:ind w:firstLine="480"/>
        <w:jc w:val="both"/>
      </w:pPr>
      <w:r>
        <w:rPr>
          <w:rFonts w:ascii="Microsoft YaHei" w:cs="Microsoft YaHei" w:eastAsia="Microsoft YaHei" w:hAnsi="Microsoft YaHei"/>
          <w:sz w:val="24"/>
          <w:szCs w:val="24"/>
        </w:rPr>
        <w:t xml:space="preserve">5.7.3 测试方法见本法规附录9。</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车型的认证更改及认证扩展</w:t>
      </w:r>
    </w:p>
    <w:p>
      <w:pPr>
        <w:pStyle w:val="Heading2"/>
        <w:spacing w:after="120" w:before="360"/>
        <w:ind w:left="0" w:firstLine="0"/>
      </w:pPr>
      <w:r>
        <w:rPr>
          <w:rFonts w:ascii="Microsoft YaHei" w:cs="Microsoft YaHei" w:eastAsia="Microsoft YaHei" w:hAnsi="Microsoft YaHei"/>
          <w:b/>
          <w:bCs/>
          <w:color w:val="2F5496"/>
          <w:sz w:val="30"/>
          <w:szCs w:val="30"/>
        </w:rPr>
        <w:t xml:space="preserve">6.1 认证更改</w:t>
      </w:r>
    </w:p>
    <w:p>
      <w:pPr>
        <w:spacing w:after="0" w:line="360" w:lineRule="auto"/>
        <w:ind w:firstLine="480"/>
        <w:jc w:val="both"/>
      </w:pPr>
      <w:r>
        <w:rPr>
          <w:rFonts w:ascii="Microsoft YaHei" w:cs="Microsoft YaHei" w:eastAsia="Microsoft YaHei" w:hAnsi="Microsoft YaHei"/>
          <w:sz w:val="24"/>
          <w:szCs w:val="24"/>
        </w:rPr>
        <w:t xml:space="preserve">对于已获得认证的车型，如果发生影响内部安装件性能的更改，制造商应通知批准认证的主管部门。</w:t>
      </w:r>
    </w:p>
    <w:p>
      <w:pPr>
        <w:spacing w:after="0" w:line="360" w:lineRule="auto"/>
        <w:ind w:firstLine="480"/>
        <w:jc w:val="both"/>
      </w:pPr>
      <w:r>
        <w:rPr>
          <w:rFonts w:ascii="Microsoft YaHei" w:cs="Microsoft YaHei" w:eastAsia="Microsoft YaHei" w:hAnsi="Microsoft YaHei"/>
          <w:sz w:val="24"/>
          <w:szCs w:val="24"/>
        </w:rPr>
        <w:t xml:space="preserve">主管部门可以要求重新进行认证测试，以确认更改后的车辆仍符合本法规要求。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6.2 认证扩展</w:t>
      </w:r>
    </w:p>
    <w:p>
      <w:pPr>
        <w:spacing w:after="0" w:line="360" w:lineRule="auto"/>
        <w:ind w:firstLine="480"/>
        <w:jc w:val="both"/>
      </w:pPr>
      <w:r>
        <w:rPr>
          <w:rFonts w:ascii="Microsoft YaHei" w:cs="Microsoft YaHei" w:eastAsia="Microsoft YaHei" w:hAnsi="Microsoft YaHei"/>
          <w:sz w:val="24"/>
          <w:szCs w:val="24"/>
        </w:rPr>
        <w:t xml:space="preserve">对于仅在内部安装件的非关键方面存在差异的车型变体，可以申请认证扩展。</w:t>
      </w:r>
    </w:p>
    <w:p>
      <w:pPr>
        <w:spacing w:after="0" w:line="360" w:lineRule="auto"/>
        <w:ind w:firstLine="480"/>
        <w:jc w:val="both"/>
      </w:pPr>
      <w:r>
        <w:rPr>
          <w:rFonts w:ascii="Microsoft YaHei" w:cs="Microsoft YaHei" w:eastAsia="Microsoft YaHei" w:hAnsi="Microsoft YaHei"/>
          <w:sz w:val="24"/>
          <w:szCs w:val="24"/>
        </w:rPr>
        <w:t xml:space="preserve">认证扩展的申请应附有必要的说明文件和测试报告。</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第七章 生产一致性</w:t>
      </w:r>
    </w:p>
    <w:p>
      <w:pPr>
        <w:pStyle w:val="Heading2"/>
        <w:spacing w:after="120" w:before="360"/>
        <w:ind w:left="0" w:firstLine="0"/>
      </w:pPr>
      <w:r>
        <w:rPr>
          <w:rFonts w:ascii="Microsoft YaHei" w:cs="Microsoft YaHei" w:eastAsia="Microsoft YaHei" w:hAnsi="Microsoft YaHei"/>
          <w:b/>
          <w:bCs/>
          <w:color w:val="2F5496"/>
          <w:sz w:val="30"/>
          <w:szCs w:val="30"/>
        </w:rPr>
        <w:t xml:space="preserve">7.1 一般要求</w:t>
      </w:r>
    </w:p>
    <w:p>
      <w:pPr>
        <w:spacing w:after="0" w:line="360" w:lineRule="auto"/>
        <w:ind w:firstLine="480"/>
        <w:jc w:val="both"/>
      </w:pPr>
      <w:r>
        <w:rPr>
          <w:rFonts w:ascii="Microsoft YaHei" w:cs="Microsoft YaHei" w:eastAsia="Microsoft YaHei" w:hAnsi="Microsoft YaHei"/>
          <w:sz w:val="24"/>
          <w:szCs w:val="24"/>
        </w:rPr>
        <w:t xml:space="preserve">每一获得认证的车型，其生产应确保与认证样车保持一致。</w:t>
      </w:r>
    </w:p>
    <w:p>
      <w:pPr>
        <w:pStyle w:val="Heading2"/>
        <w:spacing w:after="120" w:before="360"/>
        <w:ind w:left="0" w:firstLine="0"/>
      </w:pPr>
      <w:r>
        <w:rPr>
          <w:rFonts w:ascii="Microsoft YaHei" w:cs="Microsoft YaHei" w:eastAsia="Microsoft YaHei" w:hAnsi="Microsoft YaHei"/>
          <w:b/>
          <w:bCs/>
          <w:color w:val="2F5496"/>
          <w:sz w:val="30"/>
          <w:szCs w:val="30"/>
        </w:rPr>
        <w:t xml:space="preserve">7.2 检查程序</w:t>
      </w:r>
    </w:p>
    <w:p>
      <w:pPr>
        <w:spacing w:after="0" w:line="360" w:lineRule="auto"/>
        <w:ind w:firstLine="480"/>
        <w:jc w:val="both"/>
      </w:pPr>
      <w:r>
        <w:rPr>
          <w:rFonts w:ascii="Microsoft YaHei" w:cs="Microsoft YaHei" w:eastAsia="Microsoft YaHei" w:hAnsi="Microsoft YaHei"/>
          <w:sz w:val="24"/>
          <w:szCs w:val="24"/>
        </w:rPr>
        <w:t xml:space="preserve">7.2.1 批准认证的主管部门可以随时对生产场所进行检查。</w:t>
      </w:r>
    </w:p>
    <w:p>
      <w:pPr>
        <w:spacing w:after="0" w:line="360" w:lineRule="auto"/>
        <w:ind w:firstLine="480"/>
        <w:jc w:val="both"/>
      </w:pPr>
      <w:r>
        <w:rPr>
          <w:rFonts w:ascii="Microsoft YaHei" w:cs="Microsoft YaHei" w:eastAsia="Microsoft YaHei" w:hAnsi="Microsoft YaHei"/>
          <w:sz w:val="24"/>
          <w:szCs w:val="24"/>
        </w:rPr>
        <w:t xml:space="preserve">7.2.2 检查应包括：</w:t>
      </w:r>
    </w:p>
    <w:p>
      <w:pPr>
        <w:pStyle w:val="ListParagraph"/>
        <w:numPr>
          <w:ilvl w:val="0"/>
          <w:numId w:val="8"/>
        </w:numPr>
        <w:spacing w:after="60" w:line="360" w:lineRule="auto"/>
      </w:pPr>
      <w:r>
        <w:rPr>
          <w:rFonts w:ascii="Microsoft YaHei" w:cs="Microsoft YaHei" w:eastAsia="Microsoft YaHei" w:hAnsi="Microsoft YaHei"/>
          <w:sz w:val="24"/>
          <w:szCs w:val="24"/>
        </w:rPr>
        <w:t xml:space="preserve">生产设备和质量控制体系的检查；</w:t>
      </w:r>
    </w:p>
    <w:p>
      <w:pPr>
        <w:pStyle w:val="ListParagraph"/>
        <w:numPr>
          <w:ilvl w:val="0"/>
          <w:numId w:val="8"/>
        </w:numPr>
        <w:spacing w:after="60" w:line="360" w:lineRule="auto"/>
      </w:pPr>
      <w:r>
        <w:rPr>
          <w:rFonts w:ascii="Microsoft YaHei" w:cs="Microsoft YaHei" w:eastAsia="Microsoft YaHei" w:hAnsi="Microsoft YaHei"/>
          <w:sz w:val="24"/>
          <w:szCs w:val="24"/>
        </w:rPr>
        <w:t xml:space="preserve">从生产线上随机抽取样车进行测试。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7.3 测试要求</w:t>
      </w:r>
    </w:p>
    <w:p>
      <w:pPr>
        <w:spacing w:after="0" w:line="360" w:lineRule="auto"/>
        <w:ind w:firstLine="480"/>
        <w:jc w:val="both"/>
      </w:pPr>
      <w:r>
        <w:rPr>
          <w:rFonts w:ascii="Microsoft YaHei" w:cs="Microsoft YaHei" w:eastAsia="Microsoft YaHei" w:hAnsi="Microsoft YaHei"/>
          <w:sz w:val="24"/>
          <w:szCs w:val="24"/>
        </w:rPr>
        <w:t xml:space="preserve">从生产线上抽取的样车应满足本法规第五章规定的要求。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第八章 生产不一致性的处罚</w:t>
      </w:r>
    </w:p>
    <w:p>
      <w:pPr>
        <w:spacing w:after="0" w:line="360" w:lineRule="auto"/>
        <w:ind w:firstLine="480"/>
        <w:jc w:val="both"/>
      </w:pPr>
      <w:r>
        <w:rPr>
          <w:rFonts w:ascii="Microsoft YaHei" w:cs="Microsoft YaHei" w:eastAsia="Microsoft YaHei" w:hAnsi="Microsoft YaHei"/>
          <w:sz w:val="24"/>
          <w:szCs w:val="24"/>
        </w:rPr>
        <w:t xml:space="preserve">如果发现生产不一致，批准认证的主管部门应采取必要措施确保生产恢复一致性，包括必要时撤销认证。</w:t>
      </w:r>
    </w:p>
    <w:p>
      <w:pPr>
        <w:spacing w:after="0" w:line="360" w:lineRule="auto"/>
        <w:ind w:firstLine="480"/>
        <w:jc w:val="both"/>
      </w:pPr>
      <w:r>
        <w:rPr>
          <w:rFonts w:ascii="Microsoft YaHei" w:cs="Microsoft YaHei" w:eastAsia="Microsoft YaHei" w:hAnsi="Microsoft YaHei"/>
          <w:sz w:val="24"/>
          <w:szCs w:val="24"/>
        </w:rPr>
        <w:t xml:space="preserve">主管部门应将采取的措施通知其他缔约方。</w:t>
      </w:r>
    </w:p>
    <w:p>
      <w:pPr>
        <w:pStyle w:val="Heading1"/>
        <w:spacing w:after="240" w:before="480"/>
        <w:ind w:left="0" w:firstLine="0"/>
      </w:pPr>
      <w:r>
        <w:rPr>
          <w:rFonts w:ascii="Microsoft YaHei" w:cs="Microsoft YaHei" w:eastAsia="Microsoft YaHei" w:hAnsi="Microsoft YaHei"/>
          <w:b/>
          <w:bCs/>
          <w:color w:val="2F5496"/>
          <w:sz w:val="36"/>
          <w:szCs w:val="36"/>
        </w:rPr>
        <w:t xml:space="preserve">第九章 正式停产</w:t>
      </w:r>
    </w:p>
    <w:p>
      <w:pPr>
        <w:spacing w:after="0" w:line="360" w:lineRule="auto"/>
        <w:ind w:firstLine="480"/>
        <w:jc w:val="both"/>
      </w:pPr>
      <w:r>
        <w:rPr>
          <w:rFonts w:ascii="Microsoft YaHei" w:cs="Microsoft YaHei" w:eastAsia="Microsoft YaHei" w:hAnsi="Microsoft YaHei"/>
          <w:sz w:val="24"/>
          <w:szCs w:val="24"/>
        </w:rPr>
        <w:t xml:space="preserve">如果制造商停止生产已获得认证的车型，应通知批准认证的主管部门。</w:t>
      </w:r>
    </w:p>
    <w:p>
      <w:pPr>
        <w:spacing w:after="0" w:line="360" w:lineRule="auto"/>
        <w:ind w:firstLine="480"/>
        <w:jc w:val="both"/>
      </w:pPr>
      <w:r>
        <w:rPr>
          <w:rFonts w:ascii="Microsoft YaHei" w:cs="Microsoft YaHei" w:eastAsia="Microsoft YaHei" w:hAnsi="Microsoft YaHei"/>
          <w:sz w:val="24"/>
          <w:szCs w:val="24"/>
        </w:rPr>
        <w:t xml:space="preserve">主管部门应将停产信息通知其他缔约方。</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第十章 认证试验部门和行政管理部门的名称和地址</w:t>
      </w:r>
    </w:p>
    <w:p>
      <w:pPr>
        <w:spacing w:after="0" w:line="360" w:lineRule="auto"/>
        <w:ind w:firstLine="480"/>
        <w:jc w:val="both"/>
      </w:pPr>
      <w:r>
        <w:rPr>
          <w:rFonts w:ascii="Microsoft YaHei" w:cs="Microsoft YaHei" w:eastAsia="Microsoft YaHei" w:hAnsi="Microsoft YaHei"/>
          <w:sz w:val="24"/>
          <w:szCs w:val="24"/>
        </w:rPr>
        <w:t xml:space="preserve">各缔约方应将其负责进行认证测试的技术服务机构和负责认证批准的行政管理部门的名称和地址通知联合国欧洲经济委员会秘书处。</w:t>
      </w:r>
    </w:p>
    <w:p>
      <w:pPr>
        <w:spacing w:after="0" w:line="360" w:lineRule="auto"/>
        <w:ind w:firstLine="480"/>
        <w:jc w:val="both"/>
      </w:pPr>
      <w:r>
        <w:rPr>
          <w:rFonts w:ascii="Microsoft YaHei" w:cs="Microsoft YaHei" w:eastAsia="Microsoft YaHei" w:hAnsi="Microsoft YaHei"/>
          <w:sz w:val="24"/>
          <w:szCs w:val="24"/>
        </w:rPr>
        <w:t xml:space="preserve">秘书处应将此信息通知所有缔约方。</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 头部碰撞区的确定</w:t>
      </w:r>
    </w:p>
    <w:p>
      <w:pPr>
        <w:pStyle w:val="Heading2"/>
        <w:spacing w:after="120" w:before="360"/>
        <w:ind w:left="0" w:firstLine="0"/>
      </w:pPr>
      <w:r>
        <w:rPr>
          <w:rFonts w:ascii="Microsoft YaHei" w:cs="Microsoft YaHei" w:eastAsia="Microsoft YaHei" w:hAnsi="Microsoft YaHei"/>
          <w:b/>
          <w:bCs/>
          <w:color w:val="2F5496"/>
          <w:sz w:val="30"/>
          <w:szCs w:val="30"/>
        </w:rPr>
        <w:t xml:space="preserve">1. 目的</w:t>
      </w:r>
    </w:p>
    <w:p>
      <w:pPr>
        <w:spacing w:after="0" w:line="360" w:lineRule="auto"/>
        <w:ind w:firstLine="480"/>
        <w:jc w:val="both"/>
      </w:pPr>
      <w:r>
        <w:rPr>
          <w:rFonts w:ascii="Microsoft YaHei" w:cs="Microsoft YaHei" w:eastAsia="Microsoft YaHei" w:hAnsi="Microsoft YaHei"/>
          <w:sz w:val="24"/>
          <w:szCs w:val="24"/>
        </w:rPr>
        <w:t xml:space="preserve">本附录规定确定头部碰撞区的方法，用于评估车辆内部安装件对乘员头部的保护性能。</w:t>
      </w:r>
    </w:p>
    <w:p>
      <w:pPr>
        <w:pStyle w:val="Heading2"/>
        <w:spacing w:after="120" w:before="360"/>
        <w:ind w:left="0" w:firstLine="0"/>
      </w:pPr>
      <w:r>
        <w:rPr>
          <w:rFonts w:ascii="Microsoft YaHei" w:cs="Microsoft YaHei" w:eastAsia="Microsoft YaHei" w:hAnsi="Microsoft YaHei"/>
          <w:b/>
          <w:bCs/>
          <w:color w:val="2F5496"/>
          <w:sz w:val="30"/>
          <w:szCs w:val="30"/>
        </w:rPr>
        <w:t xml:space="preserve">2. 测量设备</w:t>
      </w:r>
    </w:p>
    <w:p>
      <w:pPr>
        <w:spacing w:after="0" w:line="360" w:lineRule="auto"/>
        <w:ind w:firstLine="480"/>
        <w:jc w:val="both"/>
      </w:pPr>
      <w:r>
        <w:rPr>
          <w:rFonts w:ascii="Microsoft YaHei" w:cs="Microsoft YaHei" w:eastAsia="Microsoft YaHei" w:hAnsi="Microsoft YaHei"/>
          <w:sz w:val="24"/>
          <w:szCs w:val="24"/>
        </w:rPr>
        <w:t xml:space="preserve">2.1 使用三维H点装置（3-D H Machine）确定座椅位置。</w:t>
      </w:r>
    </w:p>
    <w:p>
      <w:pPr>
        <w:spacing w:after="0" w:line="360" w:lineRule="auto"/>
        <w:ind w:firstLine="480"/>
        <w:jc w:val="both"/>
      </w:pPr>
      <w:r>
        <w:rPr>
          <w:rFonts w:ascii="Microsoft YaHei" w:cs="Microsoft YaHei" w:eastAsia="Microsoft YaHei" w:hAnsi="Microsoft YaHei"/>
          <w:sz w:val="24"/>
          <w:szCs w:val="24"/>
        </w:rPr>
        <w:t xml:space="preserve">2.2 使用头部形状测量装置（直径165mm的球体）确定头部碰撞区。</w:t>
      </w:r>
    </w:p>
    <w:p>
      <w:pPr>
        <w:pStyle w:val="Heading2"/>
        <w:spacing w:after="120" w:before="360"/>
        <w:ind w:left="0" w:firstLine="0"/>
      </w:pPr>
      <w:r>
        <w:rPr>
          <w:rFonts w:ascii="Microsoft YaHei" w:cs="Microsoft YaHei" w:eastAsia="Microsoft YaHei" w:hAnsi="Microsoft YaHei"/>
          <w:b/>
          <w:bCs/>
          <w:color w:val="2F5496"/>
          <w:sz w:val="30"/>
          <w:szCs w:val="30"/>
        </w:rPr>
        <w:t xml:space="preserve">3. 测量程序</w:t>
      </w:r>
    </w:p>
    <w:p>
      <w:pPr>
        <w:spacing w:after="0" w:line="360" w:lineRule="auto"/>
        <w:ind w:firstLine="480"/>
        <w:jc w:val="both"/>
      </w:pPr>
      <w:r>
        <w:rPr>
          <w:rFonts w:ascii="Microsoft YaHei" w:cs="Microsoft YaHei" w:eastAsia="Microsoft YaHei" w:hAnsi="Microsoft YaHei"/>
          <w:sz w:val="24"/>
          <w:szCs w:val="24"/>
        </w:rPr>
        <w:t xml:space="preserve">3.1 将座椅调整至最后位置和最低位置。</w:t>
      </w:r>
    </w:p>
    <w:p>
      <w:pPr>
        <w:spacing w:after="0" w:line="360" w:lineRule="auto"/>
        <w:ind w:firstLine="480"/>
        <w:jc w:val="both"/>
      </w:pPr>
      <w:r>
        <w:rPr>
          <w:rFonts w:ascii="Microsoft YaHei" w:cs="Microsoft YaHei" w:eastAsia="Microsoft YaHei" w:hAnsi="Microsoft YaHei"/>
          <w:sz w:val="24"/>
          <w:szCs w:val="24"/>
        </w:rPr>
        <w:t xml:space="preserve">3.2 以H点为中心，使用头部形状测量装置在车辆内部进行摆动测量。</w:t>
      </w:r>
    </w:p>
    <w:p>
      <w:pPr>
        <w:spacing w:after="0" w:line="360" w:lineRule="auto"/>
        <w:ind w:firstLine="480"/>
        <w:jc w:val="both"/>
      </w:pPr>
      <w:r>
        <w:rPr>
          <w:rFonts w:ascii="Microsoft YaHei" w:cs="Microsoft YaHei" w:eastAsia="Microsoft YaHei" w:hAnsi="Microsoft YaHei"/>
          <w:sz w:val="24"/>
          <w:szCs w:val="24"/>
        </w:rPr>
        <w:t xml:space="preserve">3.3 记录头部形状测量装置能够接触到的所有内部表面。</w:t>
      </w:r>
    </w:p>
    <w:p>
      <w:pPr>
        <w:pStyle w:val="Heading2"/>
        <w:spacing w:after="120" w:before="360"/>
        <w:ind w:left="0" w:firstLine="0"/>
      </w:pPr>
      <w:r>
        <w:rPr>
          <w:rFonts w:ascii="Microsoft YaHei" w:cs="Microsoft YaHei" w:eastAsia="Microsoft YaHei" w:hAnsi="Microsoft YaHei"/>
          <w:b/>
          <w:bCs/>
          <w:color w:val="2F5496"/>
          <w:sz w:val="30"/>
          <w:szCs w:val="30"/>
        </w:rPr>
        <w:t xml:space="preserve">4. 基准区域的确定</w:t>
      </w:r>
    </w:p>
    <w:p>
      <w:pPr>
        <w:spacing w:after="0" w:line="360" w:lineRule="auto"/>
        <w:ind w:firstLine="480"/>
        <w:jc w:val="both"/>
      </w:pPr>
      <w:r>
        <w:rPr>
          <w:rFonts w:ascii="Microsoft YaHei" w:cs="Microsoft YaHei" w:eastAsia="Microsoft YaHei" w:hAnsi="Microsoft YaHei"/>
          <w:sz w:val="24"/>
          <w:szCs w:val="24"/>
        </w:rPr>
        <w:t xml:space="preserve">基准区域是从头部碰撞区中排除以下区域后剩余的部分：</w:t>
      </w:r>
    </w:p>
    <w:p>
      <w:pPr>
        <w:pStyle w:val="ListParagraph"/>
        <w:numPr>
          <w:ilvl w:val="0"/>
          <w:numId w:val="9"/>
        </w:numPr>
        <w:spacing w:after="60" w:line="360" w:lineRule="auto"/>
      </w:pPr>
      <w:r>
        <w:rPr>
          <w:rFonts w:ascii="Microsoft YaHei" w:cs="Microsoft YaHei" w:eastAsia="Microsoft YaHei" w:hAnsi="Microsoft YaHei"/>
          <w:sz w:val="24"/>
          <w:szCs w:val="24"/>
        </w:rPr>
        <w:t xml:space="preserve">转向操纵件周围的区域（见2.3.1条）；</w:t>
      </w:r>
    </w:p>
    <w:p>
      <w:pPr>
        <w:pStyle w:val="ListParagraph"/>
        <w:numPr>
          <w:ilvl w:val="0"/>
          <w:numId w:val="9"/>
        </w:numPr>
        <w:spacing w:after="60" w:line="360" w:lineRule="auto"/>
      </w:pPr>
      <w:r>
        <w:rPr>
          <w:rFonts w:ascii="Microsoft YaHei" w:cs="Microsoft YaHei" w:eastAsia="Microsoft YaHei" w:hAnsi="Microsoft YaHei"/>
          <w:sz w:val="24"/>
          <w:szCs w:val="24"/>
        </w:rPr>
        <w:t xml:space="preserve">仪表板下部区域（见2.3.2条）；</w:t>
      </w:r>
    </w:p>
    <w:p>
      <w:pPr>
        <w:pStyle w:val="ListParagraph"/>
        <w:numPr>
          <w:ilvl w:val="0"/>
          <w:numId w:val="9"/>
        </w:numPr>
        <w:spacing w:after="60" w:line="360" w:lineRule="auto"/>
      </w:pPr>
      <w:r>
        <w:rPr>
          <w:rFonts w:ascii="Microsoft YaHei" w:cs="Microsoft YaHei" w:eastAsia="Microsoft YaHei" w:hAnsi="Microsoft YaHei"/>
          <w:sz w:val="24"/>
          <w:szCs w:val="24"/>
        </w:rPr>
        <w:t xml:space="preserve">风窗立柱区域（见2.3.3条）。</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附录2 认证通知书格式</w:t>
      </w:r>
    </w:p>
    <w:p>
      <w:pPr>
        <w:spacing w:after="0" w:line="360" w:lineRule="auto"/>
        <w:ind w:firstLine="480"/>
        <w:jc w:val="both"/>
      </w:pPr>
      <w:r>
        <w:rPr>
          <w:rFonts w:ascii="Microsoft YaHei" w:cs="Microsoft YaHei" w:eastAsia="Microsoft YaHei" w:hAnsi="Microsoft YaHei"/>
          <w:sz w:val="24"/>
          <w:szCs w:val="24"/>
        </w:rPr>
        <w:t xml:space="preserve">本附录规定认证批准、认证扩展、认证拒绝、认证撤销或正式停产通知书的格式。</w:t>
      </w:r>
    </w:p>
    <w:p>
      <w:pPr>
        <w:spacing w:after="0" w:line="360" w:lineRule="auto"/>
        <w:ind w:firstLine="480"/>
        <w:jc w:val="both"/>
      </w:pPr>
      <w:r>
        <w:rPr>
          <w:rFonts w:ascii="Microsoft YaHei" w:cs="Microsoft YaHei" w:eastAsia="Microsoft YaHei" w:hAnsi="Microsoft YaHei"/>
          <w:sz w:val="24"/>
          <w:szCs w:val="24"/>
        </w:rPr>
        <w:t xml:space="preserve">通知书应包括以下信息：</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认证号；</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车型描述；</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制造商名称和地址；</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技术服务机构名称和地址；</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认证日期；</w:t>
      </w:r>
    </w:p>
    <w:p>
      <w:pPr>
        <w:pStyle w:val="ListParagraph"/>
        <w:numPr>
          <w:ilvl w:val="0"/>
          <w:numId w:val="10"/>
        </w:numPr>
        <w:spacing w:after="60" w:line="360" w:lineRule="auto"/>
      </w:pPr>
      <w:r>
        <w:rPr>
          <w:rFonts w:ascii="Microsoft YaHei" w:cs="Microsoft YaHei" w:eastAsia="Microsoft YaHei" w:hAnsi="Microsoft YaHei"/>
          <w:sz w:val="24"/>
          <w:szCs w:val="24"/>
        </w:rPr>
        <w:t xml:space="preserve">认证状态（批准/扩展/拒绝/撤销/停产）。</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附录3 认证标志的布置示例</w:t>
      </w:r>
    </w:p>
    <w:p>
      <w:pPr>
        <w:spacing w:after="0" w:line="360" w:lineRule="auto"/>
        <w:ind w:firstLine="480"/>
        <w:jc w:val="both"/>
      </w:pPr>
      <w:r>
        <w:rPr>
          <w:rFonts w:ascii="Microsoft YaHei" w:cs="Microsoft YaHei" w:eastAsia="Microsoft YaHei" w:hAnsi="Microsoft YaHei"/>
          <w:sz w:val="24"/>
          <w:szCs w:val="24"/>
        </w:rPr>
        <w:t xml:space="preserve">本附录提供认证标志在车辆上的布置示例。</w:t>
      </w:r>
    </w:p>
    <w:p>
      <w:pPr>
        <w:spacing w:after="0" w:line="360" w:lineRule="auto"/>
        <w:ind w:firstLine="480"/>
        <w:jc w:val="both"/>
      </w:pPr>
      <w:r>
        <w:rPr>
          <w:rFonts w:ascii="Microsoft YaHei" w:cs="Microsoft YaHei" w:eastAsia="Microsoft YaHei" w:hAnsi="Microsoft YaHei"/>
          <w:sz w:val="24"/>
          <w:szCs w:val="24"/>
        </w:rPr>
        <w:t xml:space="preserve">认证标志应清晰可见，不易磨损。</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附录4 吸能材料检验程序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1. 目的</w:t>
      </w:r>
    </w:p>
    <w:p>
      <w:pPr>
        <w:spacing w:after="0" w:line="360" w:lineRule="auto"/>
        <w:ind w:firstLine="480"/>
        <w:jc w:val="both"/>
      </w:pPr>
      <w:r>
        <w:rPr>
          <w:rFonts w:ascii="Microsoft YaHei" w:cs="Microsoft YaHei" w:eastAsia="Microsoft YaHei" w:hAnsi="Microsoft YaHei"/>
          <w:sz w:val="24"/>
          <w:szCs w:val="24"/>
        </w:rPr>
        <w:t xml:space="preserve">本附录规定检验吸能材料性能的方法。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2. 测试设备</w:t>
      </w:r>
    </w:p>
    <w:p>
      <w:pPr>
        <w:spacing w:after="0" w:line="360" w:lineRule="auto"/>
        <w:ind w:firstLine="480"/>
        <w:jc w:val="both"/>
      </w:pPr>
      <w:r>
        <w:rPr>
          <w:rFonts w:ascii="Microsoft YaHei" w:cs="Microsoft YaHei" w:eastAsia="Microsoft YaHei" w:hAnsi="Microsoft YaHei"/>
          <w:sz w:val="24"/>
          <w:szCs w:val="24"/>
        </w:rPr>
        <w:t xml:space="preserve">2.1 头部形状冲击器：直径165mm、质量6.8kg的刚性球体。</w:t>
      </w:r>
    </w:p>
    <w:p>
      <w:pPr>
        <w:spacing w:after="0" w:line="360" w:lineRule="auto"/>
        <w:ind w:firstLine="480"/>
        <w:jc w:val="both"/>
      </w:pPr>
      <w:r>
        <w:rPr>
          <w:rFonts w:ascii="Microsoft YaHei" w:cs="Microsoft YaHei" w:eastAsia="Microsoft YaHei" w:hAnsi="Microsoft YaHei"/>
          <w:sz w:val="24"/>
          <w:szCs w:val="24"/>
        </w:rPr>
        <w:t xml:space="preserve">2.2 发射装置：能够以24.1 km/h的速度发射冲击器。</w:t>
      </w:r>
    </w:p>
    <w:p>
      <w:pPr>
        <w:spacing w:after="0" w:line="360" w:lineRule="auto"/>
        <w:ind w:firstLine="480"/>
        <w:jc w:val="both"/>
      </w:pPr>
      <w:r>
        <w:rPr>
          <w:rFonts w:ascii="Microsoft YaHei" w:cs="Microsoft YaHei" w:eastAsia="Microsoft YaHei" w:hAnsi="Microsoft YaHei"/>
          <w:sz w:val="24"/>
          <w:szCs w:val="24"/>
        </w:rPr>
        <w:t xml:space="preserve">2.3 测量系统：能够测量冲击器的减速度。</w:t>
      </w:r>
    </w:p>
    <w:p>
      <w:pPr>
        <w:pStyle w:val="Heading2"/>
        <w:spacing w:after="120" w:before="360"/>
        <w:ind w:left="0" w:firstLine="0"/>
      </w:pPr>
      <w:r>
        <w:rPr>
          <w:rFonts w:ascii="Microsoft YaHei" w:cs="Microsoft YaHei" w:eastAsia="Microsoft YaHei" w:hAnsi="Microsoft YaHei"/>
          <w:b/>
          <w:bCs/>
          <w:color w:val="2F5496"/>
          <w:sz w:val="30"/>
          <w:szCs w:val="30"/>
        </w:rPr>
        <w:t xml:space="preserve">3. 测试程序</w:t>
      </w:r>
    </w:p>
    <w:p>
      <w:pPr>
        <w:spacing w:after="0" w:line="360" w:lineRule="auto"/>
        <w:ind w:firstLine="480"/>
        <w:jc w:val="both"/>
      </w:pPr>
      <w:r>
        <w:rPr>
          <w:rFonts w:ascii="Microsoft YaHei" w:cs="Microsoft YaHei" w:eastAsia="Microsoft YaHei" w:hAnsi="Microsoft YaHei"/>
          <w:sz w:val="24"/>
          <w:szCs w:val="24"/>
        </w:rPr>
        <w:t xml:space="preserve">3.1 将测试样品固定在刚性支架上。</w:t>
      </w:r>
    </w:p>
    <w:p>
      <w:pPr>
        <w:spacing w:after="0" w:line="360" w:lineRule="auto"/>
        <w:ind w:firstLine="480"/>
        <w:jc w:val="both"/>
      </w:pPr>
      <w:r>
        <w:rPr>
          <w:rFonts w:ascii="Microsoft YaHei" w:cs="Microsoft YaHei" w:eastAsia="Microsoft YaHei" w:hAnsi="Microsoft YaHei"/>
          <w:sz w:val="24"/>
          <w:szCs w:val="24"/>
        </w:rPr>
        <w:t xml:space="preserve">3.2 以24.1 km/h的速度发射冲击器撞击测试样品。</w:t>
      </w:r>
    </w:p>
    <w:p>
      <w:pPr>
        <w:spacing w:after="0" w:line="360" w:lineRule="auto"/>
        <w:ind w:firstLine="480"/>
        <w:jc w:val="both"/>
      </w:pPr>
      <w:r>
        <w:rPr>
          <w:rFonts w:ascii="Microsoft YaHei" w:cs="Microsoft YaHei" w:eastAsia="Microsoft YaHei" w:hAnsi="Microsoft YaHei"/>
          <w:sz w:val="24"/>
          <w:szCs w:val="24"/>
        </w:rPr>
        <w:t xml:space="preserve">3.3 记录冲击器的减速度-时间曲线。</w:t>
      </w:r>
    </w:p>
    <w:p>
      <w:pPr>
        <w:pStyle w:val="Heading2"/>
        <w:spacing w:after="120" w:before="360"/>
        <w:ind w:left="0" w:firstLine="0"/>
      </w:pPr>
      <w:r>
        <w:rPr>
          <w:rFonts w:ascii="Microsoft YaHei" w:cs="Microsoft YaHei" w:eastAsia="Microsoft YaHei" w:hAnsi="Microsoft YaHei"/>
          <w:b/>
          <w:bCs/>
          <w:color w:val="2F5496"/>
          <w:sz w:val="30"/>
          <w:szCs w:val="30"/>
        </w:rPr>
        <w:t xml:space="preserve">4. 合格判定</w:t>
      </w:r>
    </w:p>
    <w:p>
      <w:pPr>
        <w:spacing w:after="0" w:line="360" w:lineRule="auto"/>
        <w:ind w:firstLine="480"/>
        <w:jc w:val="both"/>
      </w:pPr>
      <w:r>
        <w:rPr>
          <w:rFonts w:ascii="Microsoft YaHei" w:cs="Microsoft YaHei" w:eastAsia="Microsoft YaHei" w:hAnsi="Microsoft YaHei"/>
          <w:sz w:val="24"/>
          <w:szCs w:val="24"/>
        </w:rPr>
        <w:t xml:space="preserve">冲击器的减速度不得超过80g，且持续时间不得超过3毫秒。</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附录5 乘坐位置H点和实际靠背角的确定程序</w:t>
      </w:r>
    </w:p>
    <w:p>
      <w:pPr>
        <w:spacing w:after="0" w:line="360" w:lineRule="auto"/>
        <w:ind w:firstLine="480"/>
        <w:jc w:val="both"/>
      </w:pPr>
      <w:r>
        <w:rPr>
          <w:rFonts w:ascii="Microsoft YaHei" w:cs="Microsoft YaHei" w:eastAsia="Microsoft YaHei" w:hAnsi="Microsoft YaHei"/>
          <w:sz w:val="24"/>
          <w:szCs w:val="24"/>
        </w:rPr>
        <w:t xml:space="preserve">本附录规定使用三维H点装置确定座椅H点和实际靠背角的方法。</w:t>
      </w:r>
    </w:p>
    <w:p>
      <w:pPr>
        <w:spacing w:after="0" w:line="360" w:lineRule="auto"/>
        <w:ind w:firstLine="480"/>
        <w:jc w:val="both"/>
      </w:pPr>
      <w:r>
        <w:rPr>
          <w:rFonts w:ascii="Microsoft YaHei" w:cs="Microsoft YaHei" w:eastAsia="Microsoft YaHei" w:hAnsi="Microsoft YaHei"/>
          <w:sz w:val="24"/>
          <w:szCs w:val="24"/>
        </w:rPr>
        <w:t xml:space="preserve">详细程序见附录5-附录1、附录5-附录2和附录5-附录3。</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附录6 凸出物测量方法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1. 目的</w:t>
      </w:r>
    </w:p>
    <w:p>
      <w:pPr>
        <w:spacing w:after="0" w:line="360" w:lineRule="auto"/>
        <w:ind w:firstLine="480"/>
        <w:jc w:val="both"/>
      </w:pPr>
      <w:r>
        <w:rPr>
          <w:rFonts w:ascii="Microsoft YaHei" w:cs="Microsoft YaHei" w:eastAsia="Microsoft YaHei" w:hAnsi="Microsoft YaHei"/>
          <w:sz w:val="24"/>
          <w:szCs w:val="24"/>
        </w:rPr>
        <w:t xml:space="preserve">本附录规定测量车辆内部凸出物的方法。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2. 测量方法</w:t>
      </w:r>
    </w:p>
    <w:p>
      <w:pPr>
        <w:spacing w:after="0" w:line="360" w:lineRule="auto"/>
        <w:ind w:firstLine="480"/>
        <w:jc w:val="both"/>
      </w:pPr>
      <w:r>
        <w:rPr>
          <w:rFonts w:ascii="Microsoft YaHei" w:cs="Microsoft YaHei" w:eastAsia="Microsoft YaHei" w:hAnsi="Microsoft YaHei"/>
          <w:sz w:val="24"/>
          <w:szCs w:val="24"/>
        </w:rPr>
        <w:t xml:space="preserve">2.1 使用直径25mm的球体在凸出物表面滚动。</w:t>
      </w:r>
    </w:p>
    <w:p>
      <w:pPr>
        <w:spacing w:after="0" w:line="360" w:lineRule="auto"/>
        <w:ind w:firstLine="480"/>
        <w:jc w:val="both"/>
      </w:pPr>
      <w:r>
        <w:rPr>
          <w:rFonts w:ascii="Microsoft YaHei" w:cs="Microsoft YaHei" w:eastAsia="Microsoft YaHei" w:hAnsi="Microsoft YaHei"/>
          <w:sz w:val="24"/>
          <w:szCs w:val="24"/>
        </w:rPr>
        <w:t xml:space="preserve">2.2 测量球体中心到基准面的距离。</w:t>
      </w:r>
    </w:p>
    <w:p>
      <w:pPr>
        <w:pStyle w:val="Heading2"/>
        <w:spacing w:after="120" w:before="360"/>
        <w:ind w:left="0" w:firstLine="0"/>
      </w:pPr>
      <w:r>
        <w:rPr>
          <w:rFonts w:ascii="Microsoft YaHei" w:cs="Microsoft YaHei" w:eastAsia="Microsoft YaHei" w:hAnsi="Microsoft YaHei"/>
          <w:b/>
          <w:bCs/>
          <w:color w:val="2F5496"/>
          <w:sz w:val="30"/>
          <w:szCs w:val="30"/>
        </w:rPr>
        <w:t xml:space="preserve">3. 凸出物高度</w:t>
      </w:r>
    </w:p>
    <w:p>
      <w:pPr>
        <w:spacing w:after="0" w:line="360" w:lineRule="auto"/>
        <w:ind w:firstLine="480"/>
        <w:jc w:val="both"/>
      </w:pPr>
      <w:r>
        <w:rPr>
          <w:rFonts w:ascii="Microsoft YaHei" w:cs="Microsoft YaHei" w:eastAsia="Microsoft YaHei" w:hAnsi="Microsoft YaHei"/>
          <w:sz w:val="24"/>
          <w:szCs w:val="24"/>
        </w:rPr>
        <w:t xml:space="preserve">凸出物高度为球体中心到基准面的最大距离减去球体半径（12.5mm）。</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附录7 本法规第5.2.1条所运用的装置和方法</w:t>
      </w:r>
    </w:p>
    <w:p>
      <w:pPr>
        <w:spacing w:after="0" w:line="360" w:lineRule="auto"/>
        <w:ind w:firstLine="480"/>
        <w:jc w:val="both"/>
      </w:pPr>
      <w:r>
        <w:rPr>
          <w:rFonts w:ascii="Microsoft YaHei" w:cs="Microsoft YaHei" w:eastAsia="Microsoft YaHei" w:hAnsi="Microsoft YaHei"/>
          <w:sz w:val="24"/>
          <w:szCs w:val="24"/>
        </w:rPr>
        <w:t xml:space="preserve">本附录详细说明用于评估基准区域内部件吸能性能的装置和方法。</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附录8 根据动力学确定的头部碰撞区域的规定</w:t>
      </w:r>
    </w:p>
    <w:p>
      <w:pPr>
        <w:spacing w:after="0" w:line="360" w:lineRule="auto"/>
        <w:ind w:firstLine="480"/>
        <w:jc w:val="both"/>
      </w:pPr>
      <w:r>
        <w:rPr>
          <w:rFonts w:ascii="Microsoft YaHei" w:cs="Microsoft YaHei" w:eastAsia="Microsoft YaHei" w:hAnsi="Microsoft YaHei"/>
          <w:sz w:val="24"/>
          <w:szCs w:val="24"/>
        </w:rPr>
        <w:t xml:space="preserve">本附录规定使用动态评估方法确定头部碰撞区域的程序，作为附录1静态方法的替代方案。</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附录9 测试天窗面板开度和车窗开度的圆柱形测试杆的典型位置</w:t>
      </w:r>
    </w:p>
    <w:p>
      <w:pPr>
        <w:spacing w:after="0" w:line="360" w:lineRule="auto"/>
        <w:ind w:firstLine="480"/>
        <w:jc w:val="both"/>
      </w:pPr>
      <w:r>
        <w:rPr>
          <w:rFonts w:ascii="Microsoft YaHei" w:cs="Microsoft YaHei" w:eastAsia="Microsoft YaHei" w:hAnsi="Microsoft YaHei"/>
          <w:sz w:val="24"/>
          <w:szCs w:val="24"/>
        </w:rPr>
        <w:t xml:space="preserve">本附录规定用于测试动力操作车窗和天窗安全性能的圆柱形测试杆的尺寸和位置。</w:t>
      </w:r>
    </w:p>
    <w:p>
      <w:pPr>
        <w:spacing w:after="0" w:line="360" w:lineRule="auto"/>
        <w:ind w:firstLine="480"/>
        <w:jc w:val="both"/>
      </w:pPr>
      <w:r>
        <w:rPr>
          <w:rFonts w:ascii="Microsoft YaHei" w:cs="Microsoft YaHei" w:eastAsia="Microsoft YaHei" w:hAnsi="Microsoft YaHei"/>
          <w:sz w:val="24"/>
          <w:szCs w:val="24"/>
        </w:rPr>
        <w:t xml:space="preserve">测试杆直径：25mm</w:t>
      </w:r>
    </w:p>
    <w:p>
      <w:pPr>
        <w:spacing w:after="0" w:line="360" w:lineRule="auto"/>
        <w:ind w:firstLine="480"/>
        <w:jc w:val="both"/>
      </w:pPr>
      <w:r>
        <w:rPr>
          <w:rFonts w:ascii="Microsoft YaHei" w:cs="Microsoft YaHei" w:eastAsia="Microsoft YaHei" w:hAnsi="Microsoft YaHei"/>
          <w:sz w:val="24"/>
          <w:szCs w:val="24"/>
        </w:rPr>
        <w:t xml:space="preserve">测试杆应放置在可能对乘员造成挤压伤害的位置。</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附录10 说明性记录</w:t>
      </w:r>
    </w:p>
    <w:p>
      <w:pPr>
        <w:spacing w:after="0" w:line="360" w:lineRule="auto"/>
        <w:ind w:firstLine="480"/>
        <w:jc w:val="both"/>
      </w:pPr>
      <w:r>
        <w:rPr>
          <w:rFonts w:ascii="Microsoft YaHei" w:cs="Microsoft YaHei" w:eastAsia="Microsoft YaHei" w:hAnsi="Microsoft YaHei"/>
          <w:sz w:val="24"/>
          <w:szCs w:val="24"/>
        </w:rPr>
        <w:t xml:space="preserve">本附录提供对本法规各条款的解释说明，以帮助理解和正确应用本法规。</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条款注释</w:t>
      </w:r>
    </w:p>
    <w:p>
      <w:pPr>
        <w:pStyle w:val="Heading2"/>
        <w:spacing w:after="120" w:before="360"/>
        <w:ind w:left="0" w:firstLine="0"/>
      </w:pPr>
      <w:r>
        <w:rPr>
          <w:rFonts w:ascii="Microsoft YaHei" w:cs="Microsoft YaHei" w:eastAsia="Microsoft YaHei" w:hAnsi="Microsoft YaHei"/>
          <w:b/>
          <w:bCs/>
          <w:color w:val="2F5496"/>
          <w:sz w:val="30"/>
          <w:szCs w:val="30"/>
        </w:rPr>
        <w:t xml:space="preserve">关于适用范围的说明</w:t>
      </w:r>
    </w:p>
    <w:p>
      <w:pPr>
        <w:spacing w:after="0" w:line="360" w:lineRule="auto"/>
        <w:ind w:firstLine="480"/>
        <w:jc w:val="both"/>
      </w:pPr>
      <w:r>
        <w:rPr>
          <w:rFonts w:ascii="Microsoft YaHei" w:cs="Microsoft YaHei" w:eastAsia="Microsoft YaHei" w:hAnsi="Microsoft YaHei"/>
          <w:sz w:val="24"/>
          <w:szCs w:val="24"/>
        </w:rPr>
        <w:t xml:space="preserve">本法规仅适用于M1类车辆（乘用车）。对于其他类型车辆，应参考相应的法规要求。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关于头部碰撞区的说明</w:t>
      </w:r>
    </w:p>
    <w:p>
      <w:pPr>
        <w:spacing w:after="0" w:line="360" w:lineRule="auto"/>
        <w:ind w:firstLine="480"/>
        <w:jc w:val="both"/>
      </w:pPr>
      <w:r>
        <w:rPr>
          <w:rFonts w:ascii="Microsoft YaHei" w:cs="Microsoft YaHei" w:eastAsia="Microsoft YaHei" w:hAnsi="Microsoft YaHei"/>
          <w:sz w:val="24"/>
          <w:szCs w:val="24"/>
        </w:rPr>
        <w:t xml:space="preserve">头部碰撞区的确定是本法规的核心内容。制造商可以选择静态方法（附录1）或动态方法（附录8）来确定头部碰撞区。</w:t>
      </w:r>
    </w:p>
    <w:p>
      <w:pPr>
        <w:pStyle w:val="Heading2"/>
        <w:spacing w:after="120" w:before="360"/>
        <w:ind w:left="0" w:firstLine="0"/>
      </w:pPr>
      <w:r>
        <w:rPr>
          <w:rFonts w:ascii="Microsoft YaHei" w:cs="Microsoft YaHei" w:eastAsia="Microsoft YaHei" w:hAnsi="Microsoft YaHei"/>
          <w:b/>
          <w:bCs/>
          <w:color w:val="2F5496"/>
          <w:sz w:val="30"/>
          <w:szCs w:val="30"/>
        </w:rPr>
        <w:t xml:space="preserve">关于测试要求的说明</w:t>
      </w:r>
    </w:p>
    <w:p>
      <w:pPr>
        <w:spacing w:after="0" w:line="360" w:lineRule="auto"/>
        <w:ind w:firstLine="480"/>
        <w:jc w:val="both"/>
      </w:pPr>
      <w:r>
        <w:rPr>
          <w:rFonts w:ascii="Microsoft YaHei" w:cs="Microsoft YaHei" w:eastAsia="Microsoft YaHei" w:hAnsi="Microsoft YaHei"/>
          <w:sz w:val="24"/>
          <w:szCs w:val="24"/>
        </w:rPr>
        <w:t xml:space="preserve">80g/3ms的减速度限值是基于大量事故研究和生物力学分析得出的，旨在将头部伤害风险降至可接受水平。</w:t>
      </w:r>
    </w:p>
    <w:p>
      <w:pPr>
        <w:pStyle w:val="Heading2"/>
        <w:spacing w:after="120" w:before="360"/>
        <w:ind w:left="0" w:firstLine="0"/>
      </w:pPr>
      <w:r>
        <w:rPr>
          <w:rFonts w:ascii="Microsoft YaHei" w:cs="Microsoft YaHei" w:eastAsia="Microsoft YaHei" w:hAnsi="Microsoft YaHei"/>
          <w:b/>
          <w:bCs/>
          <w:color w:val="2F5496"/>
          <w:sz w:val="30"/>
          <w:szCs w:val="30"/>
        </w:rPr>
        <w:t xml:space="preserve">关于认证标志的说明</w:t>
      </w:r>
    </w:p>
    <w:p>
      <w:pPr>
        <w:spacing w:after="0" w:line="360" w:lineRule="auto"/>
        <w:ind w:firstLine="480"/>
        <w:jc w:val="both"/>
      </w:pPr>
      <w:r>
        <w:rPr>
          <w:rFonts w:ascii="Microsoft YaHei" w:cs="Microsoft YaHei" w:eastAsia="Microsoft YaHei" w:hAnsi="Microsoft YaHei"/>
          <w:sz w:val="24"/>
          <w:szCs w:val="24"/>
        </w:rPr>
        <w:t xml:space="preserve">认证标志中的"E"标记后跟的数字代表批准认证的国家：</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E1 - 德国</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E2 - 法国</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E3 - 意大利</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E4 - 荷兰</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E5 - 瑞典</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E6 - 比利时</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E7 - 匈牙利</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E8 - 捷克共和国</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E9 - 西班牙</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E10 - 南斯拉夫</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E11 - 英国</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E12 - 奥地利</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E13 - 卢森堡</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E14 - 瑞士</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E15 -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E16 - 挪威</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E17 - 芬兰</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E18 - 丹麦</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E19 - 罗马尼亚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E20 - 波兰</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E21 - 葡萄牙</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E22 - 俄罗斯</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E23 - 希腊</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E24 - 爱尔兰</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E25 - 克罗地亚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E26 - 斯洛文尼亚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E27 - 斯洛伐克</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E28 - 白俄罗斯</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E29 - 爱沙尼亚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E30 -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E31 - 波黑</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E32 - 拉脱维亚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E33 -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E34 - 保加利亚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E35 -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E36 - 立陶宛</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E37 - 土耳其</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E38 -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E39 - 阿塞拜疆</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E40 -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E41 -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E42 - 欧盟</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E43 - 日本</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E44 - （未使用）</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E45 - 澳大利亚</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E46 - 乌克兰</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E47 - 南非</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E48 - 新西兰</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法规修订历史</w:t>
      </w:r>
    </w:p>
    <w:p>
      <w:pPr>
        <w:spacing w:after="0" w:line="360" w:lineRule="auto"/>
        <w:ind w:firstLine="480"/>
        <w:jc w:val="both"/>
      </w:pPr>
      <w:r>
        <w:rPr>
          <w:rFonts w:ascii="Microsoft YaHei" w:cs="Microsoft YaHei" w:eastAsia="Microsoft YaHei" w:hAnsi="Microsoft YaHei"/>
          <w:sz w:val="24"/>
          <w:szCs w:val="24"/>
        </w:rPr>
        <w:t xml:space="preserve">本法规的主要修订历史如下：</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原始版本：1971年6月2日</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修订版1：1995年10月16日生效</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修订版2：1998年1月18日生效（补充2）</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勘误表1：2000年3月8日生效</w:t>
      </w:r>
    </w:p>
    <w:p>
      <w:pPr>
        <w:pStyle w:val="ListParagraph"/>
        <w:numPr>
          <w:ilvl w:val="0"/>
          <w:numId w:val="11"/>
        </w:numPr>
        <w:spacing w:after="60" w:line="360" w:lineRule="auto"/>
      </w:pPr>
      <w:r>
        <w:rPr>
          <w:rFonts w:ascii="Microsoft YaHei" w:cs="Microsoft YaHei" w:eastAsia="Microsoft YaHei" w:hAnsi="Microsoft YaHei"/>
          <w:sz w:val="24"/>
          <w:szCs w:val="24"/>
        </w:rPr>
        <w:t xml:space="preserve">补充3：2003年1月31日生效</w:t>
      </w:r>
    </w:p>
    <w:p>
      <w:pPr>
        <w:pStyle w:val="Heading1"/>
        <w:spacing w:after="240" w:before="480"/>
        <w:ind w:left="0" w:firstLine="0"/>
      </w:pPr>
      <w:r>
        <w:rPr>
          <w:rFonts w:ascii="Microsoft YaHei" w:cs="Microsoft YaHei" w:eastAsia="Microsoft YaHei" w:hAnsi="Microsoft YaHei"/>
          <w:b/>
          <w:bCs/>
          <w:color w:val="2F5496"/>
          <w:sz w:val="36"/>
          <w:szCs w:val="36"/>
        </w:rPr>
        <w:t xml:space="preserve">参考文件</w:t>
      </w:r>
    </w:p>
    <w:p>
      <w:pPr>
        <w:spacing w:after="0" w:line="360" w:lineRule="auto"/>
        <w:ind w:firstLine="480"/>
        <w:jc w:val="both"/>
      </w:pPr>
      <w:r>
        <w:rPr>
          <w:rFonts w:ascii="Microsoft YaHei" w:cs="Microsoft YaHei" w:eastAsia="Microsoft YaHei" w:hAnsi="Microsoft YaHei"/>
          <w:sz w:val="24"/>
          <w:szCs w:val="24"/>
        </w:rPr>
        <w:t xml:space="preserve">本法规的官方文本可从以下渠道获取：</w:t>
      </w:r>
    </w:p>
    <w:p>
      <w:pPr>
        <w:pStyle w:val="ListParagraph"/>
        <w:numPr>
          <w:ilvl w:val="0"/>
          <w:numId w:val="12"/>
        </w:numPr>
        <w:spacing w:after="60" w:line="360" w:lineRule="auto"/>
      </w:pPr>
      <w:r>
        <w:rPr>
          <w:rFonts w:ascii="Microsoft YaHei" w:cs="Microsoft YaHei" w:eastAsia="Microsoft YaHei" w:hAnsi="Microsoft YaHei"/>
          <w:sz w:val="24"/>
          <w:szCs w:val="24"/>
        </w:rPr>
        <w:t xml:space="preserve">联合国欧洲经济委员会官方网站：https://unece.org/</w:t>
      </w:r>
    </w:p>
    <w:p>
      <w:pPr>
        <w:pStyle w:val="ListParagraph"/>
        <w:numPr>
          <w:ilvl w:val="0"/>
          <w:numId w:val="12"/>
        </w:numPr>
        <w:spacing w:after="60" w:line="360" w:lineRule="auto"/>
      </w:pPr>
      <w:r>
        <w:rPr>
          <w:rFonts w:ascii="Microsoft YaHei" w:cs="Microsoft YaHei" w:eastAsia="Microsoft YaHei" w:hAnsi="Microsoft YaHei"/>
          <w:sz w:val="24"/>
          <w:szCs w:val="24"/>
        </w:rPr>
        <w:t xml:space="preserve">联合国条约系列：E/ECE/324 Rev.1/Add.20/Rev.2/Amend.2</w:t>
      </w:r>
    </w:p>
    <w:p>
      <w:pPr>
        <w:pStyle w:val="ListParagraph"/>
        <w:numPr>
          <w:ilvl w:val="0"/>
          <w:numId w:val="12"/>
        </w:numPr>
        <w:spacing w:after="60" w:line="360" w:lineRule="auto"/>
      </w:pPr>
      <w:r>
        <w:rPr>
          <w:rFonts w:ascii="Microsoft YaHei" w:cs="Microsoft YaHei" w:eastAsia="Microsoft YaHei" w:hAnsi="Microsoft YaHei"/>
          <w:sz w:val="24"/>
          <w:szCs w:val="24"/>
        </w:rPr>
        <w:t xml:space="preserve">欧盟官方公报：L 188/32, 16.7.2008</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注意：本文档为UN ECE R21法规的中文翻译版本，仅供参考。正式认证工作应以联合国官方英文版本为准。</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联合国欧洲经济委员会第21号法规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联合国欧洲经济委员会第21号法规</dc:title>
  <dc:creator>联合国欧洲经济委员会</dc:creator>
  <cp:lastModifiedBy>Un-named</cp:lastModifiedBy>
  <cp:revision>1</cp:revision>
  <dcterms:created xsi:type="dcterms:W3CDTF">2026-05-17T06:38:29.589Z</dcterms:created>
  <dcterms:modified xsi:type="dcterms:W3CDTF">2026-05-17T06:38:29.589Z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"55faac2b-d351-41c8-a3ea-8a53382a2173", "ReservedCode1": "72dafc97cd38b92e5f3d5cdfd0dfbbe6", "ContentPropagator": "001191110000802100433B11010001191110000802100433B11010", "PropagateID": "1da83002-99cc-4a2f-ba0c-40b980982274", "ReservedCode2": "2734827274df537123a472bf4de01eb5"}</vt:lpwstr>
  </property>
</Properties>
</file>