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5E5A" w14:textId="678B9FD4" w:rsidR="009615BD" w:rsidRPr="009615BD" w:rsidRDefault="009615BD" w:rsidP="009615BD">
      <w:pPr>
        <w:pStyle w:val="Title"/>
      </w:pPr>
      <w:r w:rsidRPr="009615BD">
        <w:t>ResViz DSL Specification v</w:t>
      </w:r>
      <w:r w:rsidR="00C3150C">
        <w:t>0.2</w:t>
      </w:r>
      <w:r>
        <w:t xml:space="preserve">: </w:t>
      </w:r>
      <w:r w:rsidRPr="009615BD">
        <w:t>Working draft</w:t>
      </w:r>
    </w:p>
    <w:p w14:paraId="1939C8E1" w14:textId="6CB0AA83" w:rsidR="009615BD" w:rsidRPr="009615BD" w:rsidRDefault="009615BD" w:rsidP="009615BD">
      <w:r w:rsidRPr="009615BD">
        <w:t xml:space="preserve">This document defines </w:t>
      </w:r>
      <w:r>
        <w:t>our</w:t>
      </w:r>
      <w:r w:rsidRPr="009615BD">
        <w:t xml:space="preserve"> current proposed domain-specific language for propositional formulas in ResViz, expected to be updated whenever the lexer/parser gets modified.</w:t>
      </w:r>
    </w:p>
    <w:p w14:paraId="3B6445EF" w14:textId="2542E70A" w:rsidR="009615BD" w:rsidRPr="009615BD" w:rsidRDefault="009615BD" w:rsidP="00A30FDA">
      <w:pPr>
        <w:pStyle w:val="IntenseQuote"/>
      </w:pPr>
      <w:r w:rsidRPr="009615BD">
        <w:t>1. Supported constructs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615BD" w14:paraId="07B9E53C" w14:textId="77777777" w:rsidTr="009615BD">
        <w:tc>
          <w:tcPr>
            <w:tcW w:w="3005" w:type="dxa"/>
          </w:tcPr>
          <w:p w14:paraId="02ABFE0E" w14:textId="76DA8A04" w:rsidR="009615BD" w:rsidRDefault="00A30FDA" w:rsidP="00A30FDA">
            <w:pPr>
              <w:jc w:val="center"/>
            </w:pPr>
            <w:r>
              <w:t>Construct</w:t>
            </w:r>
          </w:p>
        </w:tc>
        <w:tc>
          <w:tcPr>
            <w:tcW w:w="3005" w:type="dxa"/>
          </w:tcPr>
          <w:p w14:paraId="1B3E0766" w14:textId="7069769B" w:rsidR="009615BD" w:rsidRDefault="00A30FDA" w:rsidP="00A30FDA">
            <w:pPr>
              <w:jc w:val="center"/>
            </w:pPr>
            <w:r>
              <w:t>Syntax</w:t>
            </w:r>
          </w:p>
        </w:tc>
        <w:tc>
          <w:tcPr>
            <w:tcW w:w="3006" w:type="dxa"/>
          </w:tcPr>
          <w:p w14:paraId="35AEA342" w14:textId="62B49203" w:rsidR="009615BD" w:rsidRDefault="00A30FDA" w:rsidP="00A30FDA">
            <w:pPr>
              <w:jc w:val="center"/>
            </w:pPr>
            <w:r>
              <w:t>Meaning</w:t>
            </w:r>
          </w:p>
        </w:tc>
      </w:tr>
      <w:tr w:rsidR="009615BD" w14:paraId="78965309" w14:textId="77777777" w:rsidTr="009615BD">
        <w:tc>
          <w:tcPr>
            <w:tcW w:w="3005" w:type="dxa"/>
          </w:tcPr>
          <w:p w14:paraId="019BE280" w14:textId="32A7DF45" w:rsidR="009615BD" w:rsidRDefault="00A30FDA" w:rsidP="00A30FDA">
            <w:pPr>
              <w:jc w:val="center"/>
            </w:pPr>
            <w:r>
              <w:t>Variable</w:t>
            </w:r>
          </w:p>
        </w:tc>
        <w:tc>
          <w:tcPr>
            <w:tcW w:w="3005" w:type="dxa"/>
          </w:tcPr>
          <w:p w14:paraId="544D08B6" w14:textId="3734C965" w:rsidR="009615BD" w:rsidRDefault="00A30FDA" w:rsidP="00A30FDA">
            <w:pPr>
              <w:jc w:val="center"/>
            </w:pPr>
            <w:r>
              <w:t>“A”-“Z”</w:t>
            </w:r>
          </w:p>
        </w:tc>
        <w:tc>
          <w:tcPr>
            <w:tcW w:w="3006" w:type="dxa"/>
          </w:tcPr>
          <w:p w14:paraId="2A542182" w14:textId="2DDE777C" w:rsidR="009615BD" w:rsidRDefault="00A30FDA" w:rsidP="00A30FDA">
            <w:pPr>
              <w:jc w:val="center"/>
            </w:pPr>
            <w:r>
              <w:t>Atomic proposition</w:t>
            </w:r>
          </w:p>
        </w:tc>
      </w:tr>
      <w:tr w:rsidR="009615BD" w14:paraId="35237F44" w14:textId="77777777" w:rsidTr="009615BD">
        <w:tc>
          <w:tcPr>
            <w:tcW w:w="3005" w:type="dxa"/>
          </w:tcPr>
          <w:p w14:paraId="39FC862B" w14:textId="188C8E05" w:rsidR="009615BD" w:rsidRDefault="00A30FDA" w:rsidP="00A30FDA">
            <w:pPr>
              <w:jc w:val="center"/>
            </w:pPr>
            <w:r>
              <w:t>NOT</w:t>
            </w:r>
          </w:p>
        </w:tc>
        <w:tc>
          <w:tcPr>
            <w:tcW w:w="3005" w:type="dxa"/>
          </w:tcPr>
          <w:p w14:paraId="27B3E9E0" w14:textId="4A9A901C" w:rsidR="009615BD" w:rsidRDefault="00A30FDA" w:rsidP="00A30FDA">
            <w:pPr>
              <w:jc w:val="center"/>
            </w:pPr>
            <w:r>
              <w:t>!</w:t>
            </w:r>
          </w:p>
        </w:tc>
        <w:tc>
          <w:tcPr>
            <w:tcW w:w="3006" w:type="dxa"/>
          </w:tcPr>
          <w:p w14:paraId="3C201070" w14:textId="380113D0" w:rsidR="009615BD" w:rsidRDefault="00A30FDA" w:rsidP="00A30FDA">
            <w:pPr>
              <w:jc w:val="center"/>
            </w:pPr>
            <w:r>
              <w:t>Logical negation</w:t>
            </w:r>
          </w:p>
        </w:tc>
      </w:tr>
      <w:tr w:rsidR="009615BD" w14:paraId="688824A4" w14:textId="77777777" w:rsidTr="009615BD">
        <w:tc>
          <w:tcPr>
            <w:tcW w:w="3005" w:type="dxa"/>
          </w:tcPr>
          <w:p w14:paraId="2DD620BB" w14:textId="3CEA2C0E" w:rsidR="009615BD" w:rsidRDefault="00A30FDA" w:rsidP="00A30FDA">
            <w:pPr>
              <w:jc w:val="center"/>
            </w:pPr>
            <w:r>
              <w:t>AND</w:t>
            </w:r>
          </w:p>
        </w:tc>
        <w:tc>
          <w:tcPr>
            <w:tcW w:w="3005" w:type="dxa"/>
          </w:tcPr>
          <w:p w14:paraId="0AB27549" w14:textId="269767A0" w:rsidR="009615BD" w:rsidRDefault="00A30FDA" w:rsidP="00A30FDA">
            <w:pPr>
              <w:jc w:val="center"/>
            </w:pPr>
            <w:r>
              <w:t>&amp;</w:t>
            </w:r>
          </w:p>
        </w:tc>
        <w:tc>
          <w:tcPr>
            <w:tcW w:w="3006" w:type="dxa"/>
          </w:tcPr>
          <w:p w14:paraId="7B4A32B4" w14:textId="3DA0AEBD" w:rsidR="009615BD" w:rsidRDefault="00A30FDA" w:rsidP="00A30FDA">
            <w:pPr>
              <w:jc w:val="center"/>
            </w:pPr>
            <w:r>
              <w:t>Logical conjunction</w:t>
            </w:r>
          </w:p>
        </w:tc>
      </w:tr>
      <w:tr w:rsidR="009615BD" w14:paraId="1CE39D3D" w14:textId="77777777" w:rsidTr="009615BD">
        <w:tc>
          <w:tcPr>
            <w:tcW w:w="3005" w:type="dxa"/>
          </w:tcPr>
          <w:p w14:paraId="49F28E28" w14:textId="2F30EACF" w:rsidR="009615BD" w:rsidRDefault="00A30FDA" w:rsidP="00A30FDA">
            <w:pPr>
              <w:jc w:val="center"/>
            </w:pPr>
            <w:r>
              <w:t>OR</w:t>
            </w:r>
          </w:p>
        </w:tc>
        <w:tc>
          <w:tcPr>
            <w:tcW w:w="3005" w:type="dxa"/>
          </w:tcPr>
          <w:p w14:paraId="7944618E" w14:textId="196F3CB8" w:rsidR="009615BD" w:rsidRDefault="00A30FDA" w:rsidP="00A30FDA">
            <w:pPr>
              <w:jc w:val="center"/>
            </w:pPr>
            <w:r>
              <w:t>|</w:t>
            </w:r>
          </w:p>
        </w:tc>
        <w:tc>
          <w:tcPr>
            <w:tcW w:w="3006" w:type="dxa"/>
          </w:tcPr>
          <w:p w14:paraId="4F5F7A4C" w14:textId="2D1B2B9E" w:rsidR="009615BD" w:rsidRDefault="00A30FDA" w:rsidP="00A30FDA">
            <w:pPr>
              <w:jc w:val="center"/>
            </w:pPr>
            <w:r>
              <w:t>Logical disjunction</w:t>
            </w:r>
          </w:p>
        </w:tc>
      </w:tr>
      <w:tr w:rsidR="009615BD" w14:paraId="784E7C7A" w14:textId="77777777" w:rsidTr="009615BD">
        <w:tc>
          <w:tcPr>
            <w:tcW w:w="3005" w:type="dxa"/>
          </w:tcPr>
          <w:p w14:paraId="6313E8A7" w14:textId="76DC3EA0" w:rsidR="009615BD" w:rsidRDefault="00A30FDA" w:rsidP="00A30FDA">
            <w:pPr>
              <w:jc w:val="center"/>
            </w:pPr>
            <w:r>
              <w:t>IMPLIES</w:t>
            </w:r>
          </w:p>
        </w:tc>
        <w:tc>
          <w:tcPr>
            <w:tcW w:w="3005" w:type="dxa"/>
          </w:tcPr>
          <w:p w14:paraId="0DD1310D" w14:textId="50B1EF16" w:rsidR="009615BD" w:rsidRDefault="00A30FDA" w:rsidP="00A30FDA">
            <w:pPr>
              <w:jc w:val="center"/>
            </w:pPr>
            <w:r>
              <w:t>-&gt;</w:t>
            </w:r>
          </w:p>
        </w:tc>
        <w:tc>
          <w:tcPr>
            <w:tcW w:w="3006" w:type="dxa"/>
          </w:tcPr>
          <w:p w14:paraId="2D538628" w14:textId="28FDE9F1" w:rsidR="009615BD" w:rsidRDefault="00A30FDA" w:rsidP="00A30FDA">
            <w:pPr>
              <w:jc w:val="center"/>
            </w:pPr>
            <w:r>
              <w:t>Variable implicating another</w:t>
            </w:r>
          </w:p>
        </w:tc>
      </w:tr>
      <w:tr w:rsidR="00A30FDA" w14:paraId="4580E233" w14:textId="77777777" w:rsidTr="009615BD">
        <w:tc>
          <w:tcPr>
            <w:tcW w:w="3005" w:type="dxa"/>
          </w:tcPr>
          <w:p w14:paraId="760A4D40" w14:textId="2CAA3F1C" w:rsidR="00A30FDA" w:rsidRDefault="00A30FDA" w:rsidP="00A30FDA">
            <w:pPr>
              <w:jc w:val="center"/>
            </w:pPr>
            <w:r>
              <w:t>IFF</w:t>
            </w:r>
          </w:p>
        </w:tc>
        <w:tc>
          <w:tcPr>
            <w:tcW w:w="3005" w:type="dxa"/>
          </w:tcPr>
          <w:p w14:paraId="0442970D" w14:textId="227CCC7B" w:rsidR="00A30FDA" w:rsidRDefault="00A30FDA" w:rsidP="00A30FDA">
            <w:pPr>
              <w:jc w:val="center"/>
            </w:pPr>
            <w:r>
              <w:t>&lt;-&gt;</w:t>
            </w:r>
          </w:p>
        </w:tc>
        <w:tc>
          <w:tcPr>
            <w:tcW w:w="3006" w:type="dxa"/>
          </w:tcPr>
          <w:p w14:paraId="09A97883" w14:textId="60E84966" w:rsidR="00A30FDA" w:rsidRDefault="00A30FDA" w:rsidP="00A30FDA">
            <w:pPr>
              <w:jc w:val="center"/>
            </w:pPr>
            <w:r>
              <w:t>Biconditional</w:t>
            </w:r>
            <w:r w:rsidR="00C3150C">
              <w:t>/logical equivalence</w:t>
            </w:r>
          </w:p>
        </w:tc>
      </w:tr>
      <w:tr w:rsidR="00A30FDA" w14:paraId="3F7DB413" w14:textId="77777777" w:rsidTr="009615BD">
        <w:tc>
          <w:tcPr>
            <w:tcW w:w="3005" w:type="dxa"/>
          </w:tcPr>
          <w:p w14:paraId="7C72A999" w14:textId="650B50F3" w:rsidR="00A30FDA" w:rsidRDefault="00A30FDA" w:rsidP="00A30FDA">
            <w:pPr>
              <w:jc w:val="center"/>
            </w:pPr>
            <w:r>
              <w:t>GROUPING</w:t>
            </w:r>
          </w:p>
        </w:tc>
        <w:tc>
          <w:tcPr>
            <w:tcW w:w="3005" w:type="dxa"/>
          </w:tcPr>
          <w:p w14:paraId="55E14213" w14:textId="0C619F87" w:rsidR="00A30FDA" w:rsidRDefault="00A30FDA" w:rsidP="00A30FDA">
            <w:pPr>
              <w:jc w:val="center"/>
            </w:pPr>
            <w:r>
              <w:t>(…)</w:t>
            </w:r>
          </w:p>
        </w:tc>
        <w:tc>
          <w:tcPr>
            <w:tcW w:w="3006" w:type="dxa"/>
          </w:tcPr>
          <w:p w14:paraId="3DB0B788" w14:textId="5C6128A4" w:rsidR="00A30FDA" w:rsidRDefault="00A30FDA" w:rsidP="00A30FDA">
            <w:pPr>
              <w:jc w:val="center"/>
            </w:pPr>
            <w:r>
              <w:t>Explicit grouping</w:t>
            </w:r>
          </w:p>
        </w:tc>
      </w:tr>
    </w:tbl>
    <w:p w14:paraId="5B24F4BD" w14:textId="6B37D42B" w:rsidR="009615BD" w:rsidRPr="009615BD" w:rsidRDefault="009615BD" w:rsidP="00A30FDA">
      <w:pPr>
        <w:pStyle w:val="IntenseQuote"/>
      </w:pPr>
      <w:r w:rsidRPr="009615BD">
        <w:t>2. Current variable rule</w:t>
      </w:r>
    </w:p>
    <w:p w14:paraId="7A8AE73F" w14:textId="4565027A" w:rsidR="009615BD" w:rsidRPr="009615BD" w:rsidRDefault="009615BD" w:rsidP="009615BD">
      <w:r w:rsidRPr="009615BD">
        <w:t xml:space="preserve">Our </w:t>
      </w:r>
      <w:r w:rsidR="00A30FDA">
        <w:t>L</w:t>
      </w:r>
      <w:r w:rsidRPr="009615BD">
        <w:t xml:space="preserve">exer recognises </w:t>
      </w:r>
      <w:r w:rsidRPr="009615BD">
        <w:rPr>
          <w:b/>
          <w:bCs/>
        </w:rPr>
        <w:t>one uppercase ASCII letter</w:t>
      </w:r>
      <w:r w:rsidRPr="009615BD">
        <w:t xml:space="preserve"> as a variable: `A` through `Z`.</w:t>
      </w:r>
    </w:p>
    <w:p w14:paraId="6127EC3D" w14:textId="4F1CDFAE" w:rsidR="009615BD" w:rsidRPr="009615BD" w:rsidRDefault="009615BD" w:rsidP="009615BD">
      <w:r w:rsidRPr="009615BD">
        <w:t>Examples:</w:t>
      </w:r>
    </w:p>
    <w:p w14:paraId="539ED366" w14:textId="77777777" w:rsidR="009615BD" w:rsidRPr="009615BD" w:rsidRDefault="009615BD" w:rsidP="009615BD">
      <w:r w:rsidRPr="009615BD">
        <w:t>- Valid: `A`, `B`, `Z`</w:t>
      </w:r>
    </w:p>
    <w:p w14:paraId="7A04CFCE" w14:textId="178BE3D9" w:rsidR="009615BD" w:rsidRPr="009615BD" w:rsidRDefault="009615BD" w:rsidP="009615BD">
      <w:r w:rsidRPr="009615BD">
        <w:t>- Not currently supported as a single variable: `eligible`, `P1`, `StudentApplied`</w:t>
      </w:r>
    </w:p>
    <w:p w14:paraId="48BD5ADD" w14:textId="344950A4" w:rsidR="009615BD" w:rsidRPr="009615BD" w:rsidRDefault="009615BD" w:rsidP="009615BD">
      <w:r w:rsidRPr="00A30FDA">
        <w:rPr>
          <w:highlight w:val="yellow"/>
        </w:rPr>
        <w:t>For the first stable milestone, retaining single-letter variables plus an annotation layer is recommended. A richer identifier syntax should only be introduced as a deliberate DSL revision.</w:t>
      </w:r>
    </w:p>
    <w:p w14:paraId="5A34107F" w14:textId="7C2CBDDC" w:rsidR="009615BD" w:rsidRPr="009615BD" w:rsidRDefault="009615BD" w:rsidP="00A30FDA">
      <w:pPr>
        <w:pStyle w:val="IntenseQuote"/>
      </w:pPr>
      <w:r w:rsidRPr="009615BD">
        <w:t xml:space="preserve">3. </w:t>
      </w:r>
      <w:r w:rsidR="00A30FDA">
        <w:t>P</w:t>
      </w:r>
      <w:r w:rsidRPr="009615BD">
        <w:t>recedence</w:t>
      </w:r>
    </w:p>
    <w:p w14:paraId="6572E341" w14:textId="07B637AD" w:rsidR="009615BD" w:rsidRPr="009615BD" w:rsidRDefault="00C3150C" w:rsidP="009615BD">
      <w:r>
        <w:t>Current parser precedence</w:t>
      </w:r>
      <w:r w:rsidR="009615BD" w:rsidRPr="009615BD">
        <w:t>:</w:t>
      </w:r>
    </w:p>
    <w:p w14:paraId="03852EC0" w14:textId="77777777" w:rsidR="009615BD" w:rsidRPr="009615BD" w:rsidRDefault="009615BD" w:rsidP="009615BD">
      <w:r w:rsidRPr="009615BD">
        <w:t>1. `!` NOT</w:t>
      </w:r>
    </w:p>
    <w:p w14:paraId="275F3213" w14:textId="77777777" w:rsidR="009615BD" w:rsidRPr="009615BD" w:rsidRDefault="009615BD" w:rsidP="009615BD">
      <w:r w:rsidRPr="009615BD">
        <w:t>2. `&amp;` AND</w:t>
      </w:r>
    </w:p>
    <w:p w14:paraId="0A10D0D5" w14:textId="77777777" w:rsidR="009615BD" w:rsidRPr="009615BD" w:rsidRDefault="009615BD" w:rsidP="009615BD">
      <w:r w:rsidRPr="009615BD">
        <w:t>3. `|` OR</w:t>
      </w:r>
    </w:p>
    <w:p w14:paraId="42282B42" w14:textId="77777777" w:rsidR="009615BD" w:rsidRPr="009615BD" w:rsidRDefault="009615BD" w:rsidP="009615BD">
      <w:r w:rsidRPr="009615BD">
        <w:t>4. `-&gt;` IMPLIES</w:t>
      </w:r>
    </w:p>
    <w:p w14:paraId="012A2B13" w14:textId="1D77C9F8" w:rsidR="009615BD" w:rsidRPr="009615BD" w:rsidRDefault="009615BD" w:rsidP="009615BD">
      <w:r w:rsidRPr="009615BD">
        <w:t>5. `&lt;-&gt;` IFF</w:t>
      </w:r>
    </w:p>
    <w:p w14:paraId="60B44AC7" w14:textId="4AD30BC8" w:rsidR="009615BD" w:rsidRPr="009615BD" w:rsidRDefault="00A30FDA" w:rsidP="009615BD">
      <w:r>
        <w:lastRenderedPageBreak/>
        <w:t xml:space="preserve">6. </w:t>
      </w:r>
      <w:r w:rsidR="009615BD" w:rsidRPr="009615BD">
        <w:t>Parentheses override precedence.</w:t>
      </w:r>
    </w:p>
    <w:p w14:paraId="116C506F" w14:textId="5D3D6E8A" w:rsidR="009615BD" w:rsidRPr="009615BD" w:rsidRDefault="009615BD" w:rsidP="00A30FDA">
      <w:pPr>
        <w:pStyle w:val="IntenseQuote"/>
      </w:pPr>
      <w:r w:rsidRPr="009615BD">
        <w:t xml:space="preserve">4. </w:t>
      </w:r>
      <w:r w:rsidR="00C3150C">
        <w:t>A</w:t>
      </w:r>
      <w:r w:rsidRPr="009615BD">
        <w:t>ssociativity</w:t>
      </w:r>
    </w:p>
    <w:p w14:paraId="0356777D" w14:textId="77777777" w:rsidR="009615BD" w:rsidRPr="009615BD" w:rsidRDefault="009615BD" w:rsidP="009615BD">
      <w:r w:rsidRPr="009615BD">
        <w:t>- AND: left-associative</w:t>
      </w:r>
    </w:p>
    <w:p w14:paraId="27329CA0" w14:textId="77777777" w:rsidR="009615BD" w:rsidRPr="009615BD" w:rsidRDefault="009615BD" w:rsidP="009615BD">
      <w:r w:rsidRPr="009615BD">
        <w:t>- OR: left-associative</w:t>
      </w:r>
    </w:p>
    <w:p w14:paraId="5BAF7207" w14:textId="77777777" w:rsidR="009615BD" w:rsidRPr="009615BD" w:rsidRDefault="009615BD" w:rsidP="009615BD">
      <w:r w:rsidRPr="009615BD">
        <w:t>- IMPLIES: right-associative</w:t>
      </w:r>
    </w:p>
    <w:p w14:paraId="11397126" w14:textId="16097954" w:rsidR="009615BD" w:rsidRPr="009615BD" w:rsidRDefault="009615BD" w:rsidP="009615BD">
      <w:r w:rsidRPr="009615BD">
        <w:t>- IFF: preferably parenthesised for chains</w:t>
      </w:r>
    </w:p>
    <w:p w14:paraId="25AA9DF8" w14:textId="0D5E13C7" w:rsidR="009615BD" w:rsidRPr="009615BD" w:rsidRDefault="009615BD" w:rsidP="009615BD">
      <w:r w:rsidRPr="009615BD">
        <w:t>Example:</w:t>
      </w:r>
    </w:p>
    <w:p w14:paraId="3924086B" w14:textId="3663D580" w:rsidR="00A30FDA" w:rsidRPr="009615BD" w:rsidRDefault="00A30FDA" w:rsidP="009615BD">
      <w:r>
        <w:t>“</w:t>
      </w:r>
      <w:r w:rsidR="009615BD" w:rsidRPr="009615BD">
        <w:t>A -&gt; B -&gt; C</w:t>
      </w:r>
      <w:r>
        <w:t>”</w:t>
      </w:r>
    </w:p>
    <w:p w14:paraId="517787D6" w14:textId="770F4E3E" w:rsidR="009615BD" w:rsidRPr="009615BD" w:rsidRDefault="009615BD" w:rsidP="009615BD">
      <w:r w:rsidRPr="009615BD">
        <w:t>is interpreted as:</w:t>
      </w:r>
    </w:p>
    <w:p w14:paraId="71A2F54E" w14:textId="41085EFB" w:rsidR="009615BD" w:rsidRPr="009615BD" w:rsidRDefault="00A30FDA" w:rsidP="009615BD">
      <w:r>
        <w:t>“</w:t>
      </w:r>
      <w:r w:rsidR="009615BD" w:rsidRPr="009615BD">
        <w:t>A -&gt; (B -&gt; C)</w:t>
      </w:r>
      <w:r>
        <w:t>”</w:t>
      </w:r>
    </w:p>
    <w:p w14:paraId="0A4DADF7" w14:textId="33D69E37" w:rsidR="009615BD" w:rsidRPr="009615BD" w:rsidRDefault="009615BD" w:rsidP="009615BD"/>
    <w:p w14:paraId="0ABD2A39" w14:textId="35C506F1" w:rsidR="00A30FDA" w:rsidRDefault="009615BD" w:rsidP="00A30FDA">
      <w:pPr>
        <w:pStyle w:val="IntenseQuote"/>
      </w:pPr>
      <w:r w:rsidRPr="009615BD">
        <w:t>5. Whitespace</w:t>
      </w:r>
      <w:r w:rsidR="00A30FDA">
        <w:t xml:space="preserve"> is insignificant</w:t>
      </w:r>
    </w:p>
    <w:p w14:paraId="65A9D647" w14:textId="77777777" w:rsidR="00A30FDA" w:rsidRPr="00A30FDA" w:rsidRDefault="00A30FDA" w:rsidP="00A30FDA"/>
    <w:p w14:paraId="188B3F02" w14:textId="6B24DD3B" w:rsidR="009615BD" w:rsidRPr="009615BD" w:rsidRDefault="009615BD" w:rsidP="00A30FDA">
      <w:pPr>
        <w:pStyle w:val="IntenseQuote"/>
      </w:pPr>
      <w:r w:rsidRPr="009615BD">
        <w:t>6. Invalid input</w:t>
      </w:r>
    </w:p>
    <w:p w14:paraId="70D5F15C" w14:textId="297A9ED0" w:rsidR="009615BD" w:rsidRPr="009615BD" w:rsidRDefault="00C3150C" w:rsidP="009615BD">
      <w:r>
        <w:t xml:space="preserve">Required behaviour: </w:t>
      </w:r>
      <w:r w:rsidR="009615BD" w:rsidRPr="009615BD">
        <w:t>Illegal characters and malformed syntax must be rejected, not silently ignored</w:t>
      </w:r>
      <w:r>
        <w:t>, current lexer prints an error ad advances past the character,thus not satisfying DSL error handling requirement.</w:t>
      </w:r>
    </w:p>
    <w:p w14:paraId="2F67C52B" w14:textId="68768B46" w:rsidR="009615BD" w:rsidRPr="009615BD" w:rsidRDefault="00C3150C" w:rsidP="009615BD">
      <w:r>
        <w:t>E</w:t>
      </w:r>
      <w:r w:rsidR="009615BD" w:rsidRPr="009615BD">
        <w:t>xamples:</w:t>
      </w:r>
    </w:p>
    <w:p w14:paraId="3B03C156" w14:textId="147B2026" w:rsidR="009615BD" w:rsidRPr="009615BD" w:rsidRDefault="00A30FDA" w:rsidP="009615BD">
      <w:r>
        <w:t>“</w:t>
      </w:r>
      <w:r w:rsidR="009615BD" w:rsidRPr="009615BD">
        <w:t>A @ B</w:t>
      </w:r>
      <w:r>
        <w:t>”</w:t>
      </w:r>
    </w:p>
    <w:p w14:paraId="1A1CDB5C" w14:textId="53B275FC" w:rsidR="009615BD" w:rsidRPr="009615BD" w:rsidRDefault="00A30FDA" w:rsidP="009615BD">
      <w:r>
        <w:t>“</w:t>
      </w:r>
      <w:r w:rsidR="009615BD" w:rsidRPr="009615BD">
        <w:t>A &amp; &amp; B</w:t>
      </w:r>
      <w:r>
        <w:t>”</w:t>
      </w:r>
    </w:p>
    <w:p w14:paraId="25F44579" w14:textId="626AC99A" w:rsidR="00A30FDA" w:rsidRPr="009615BD" w:rsidRDefault="00A30FDA" w:rsidP="009615BD">
      <w:r>
        <w:t>“</w:t>
      </w:r>
      <w:r w:rsidR="009615BD" w:rsidRPr="009615BD">
        <w:t>(A | B</w:t>
      </w:r>
      <w:r>
        <w:t>”</w:t>
      </w:r>
    </w:p>
    <w:p w14:paraId="5F1F26EC" w14:textId="44328D7D" w:rsidR="009615BD" w:rsidRPr="009615BD" w:rsidRDefault="009615BD" w:rsidP="009615BD">
      <w:r w:rsidRPr="009615BD">
        <w:t>Recommended error shape:</w:t>
      </w:r>
    </w:p>
    <w:p w14:paraId="492507D2" w14:textId="77777777" w:rsidR="009615BD" w:rsidRPr="009615BD" w:rsidRDefault="009615BD" w:rsidP="009615BD">
      <w:r w:rsidRPr="009615BD">
        <w:t>LexerError: unexpected character '@' at position 2</w:t>
      </w:r>
    </w:p>
    <w:p w14:paraId="2CA9E632" w14:textId="35F9140A" w:rsidR="009615BD" w:rsidRDefault="009615BD" w:rsidP="009615BD"/>
    <w:p w14:paraId="79D56997" w14:textId="77777777" w:rsidR="00A30FDA" w:rsidRDefault="00A30FDA" w:rsidP="009615BD"/>
    <w:p w14:paraId="506FB20E" w14:textId="77777777" w:rsidR="00A30FDA" w:rsidRDefault="00A30FDA" w:rsidP="009615BD"/>
    <w:p w14:paraId="148CF76D" w14:textId="77777777" w:rsidR="00A30FDA" w:rsidRDefault="00A30FDA" w:rsidP="009615BD"/>
    <w:p w14:paraId="443F8473" w14:textId="77777777" w:rsidR="00A30FDA" w:rsidRPr="009615BD" w:rsidRDefault="00A30FDA" w:rsidP="009615BD"/>
    <w:p w14:paraId="47853DC7" w14:textId="53C914B4" w:rsidR="009615BD" w:rsidRPr="009615BD" w:rsidRDefault="009615BD" w:rsidP="00A30FDA">
      <w:pPr>
        <w:pStyle w:val="IntenseQuote"/>
      </w:pPr>
      <w:r w:rsidRPr="009615BD">
        <w:t>7. Design principles</w:t>
      </w:r>
    </w:p>
    <w:p w14:paraId="5D9FE949" w14:textId="4F39FADF" w:rsidR="009615BD" w:rsidRPr="009615BD" w:rsidRDefault="009615BD" w:rsidP="009615BD">
      <w:r w:rsidRPr="009615BD">
        <w:t xml:space="preserve">- Keep syntax small enough for </w:t>
      </w:r>
      <w:r w:rsidR="00A30FDA">
        <w:t>clients</w:t>
      </w:r>
      <w:r w:rsidRPr="009615BD">
        <w:t xml:space="preserve"> to type quickly.</w:t>
      </w:r>
    </w:p>
    <w:p w14:paraId="5AC5883C" w14:textId="77777777" w:rsidR="009615BD" w:rsidRPr="009615BD" w:rsidRDefault="009615BD" w:rsidP="009615BD">
      <w:r w:rsidRPr="009615BD">
        <w:t>- Keep precedence deterministic.</w:t>
      </w:r>
    </w:p>
    <w:p w14:paraId="67084328" w14:textId="77777777" w:rsidR="009615BD" w:rsidRPr="009615BD" w:rsidRDefault="009615BD" w:rsidP="009615BD">
      <w:r w:rsidRPr="009615BD">
        <w:t>- Keep error messages understandable.</w:t>
      </w:r>
    </w:p>
    <w:p w14:paraId="43053BCF" w14:textId="77777777" w:rsidR="009615BD" w:rsidRPr="009615BD" w:rsidRDefault="009615BD" w:rsidP="009615BD">
      <w:r w:rsidRPr="009615BD">
        <w:t>- Do not let UI annotations change the logical semantics.</w:t>
      </w:r>
    </w:p>
    <w:p w14:paraId="3AD44BB7" w14:textId="77777777" w:rsidR="009615BD" w:rsidRPr="009615BD" w:rsidRDefault="009615BD" w:rsidP="009615BD">
      <w:r w:rsidRPr="009615BD">
        <w:t>- Any DSL change must update lexer tests, parser tests, API documentation, and frontend validation together.</w:t>
      </w:r>
    </w:p>
    <w:p w14:paraId="7D698B4F" w14:textId="77777777" w:rsidR="009615BD" w:rsidRPr="009615BD" w:rsidRDefault="009615BD" w:rsidP="009615BD"/>
    <w:p w14:paraId="7BD9B629" w14:textId="007E85E9" w:rsidR="009615BD" w:rsidRPr="009615BD" w:rsidRDefault="009615BD" w:rsidP="00A30FDA">
      <w:pPr>
        <w:pStyle w:val="IntenseQuote"/>
      </w:pPr>
      <w:r w:rsidRPr="009615BD">
        <w:t>8. Examples</w:t>
      </w:r>
    </w:p>
    <w:p w14:paraId="6A2E45F1" w14:textId="77777777" w:rsidR="009615BD" w:rsidRPr="009615BD" w:rsidRDefault="009615BD" w:rsidP="009615BD">
      <w:r w:rsidRPr="009615BD">
        <w:t>A</w:t>
      </w:r>
    </w:p>
    <w:p w14:paraId="0C3E22EB" w14:textId="77777777" w:rsidR="009615BD" w:rsidRPr="009615BD" w:rsidRDefault="009615BD" w:rsidP="009615BD">
      <w:r w:rsidRPr="009615BD">
        <w:t>!A</w:t>
      </w:r>
    </w:p>
    <w:p w14:paraId="46CE4838" w14:textId="77777777" w:rsidR="009615BD" w:rsidRPr="009615BD" w:rsidRDefault="009615BD" w:rsidP="009615BD">
      <w:r w:rsidRPr="009615BD">
        <w:t>A &amp; B</w:t>
      </w:r>
    </w:p>
    <w:p w14:paraId="72B564AE" w14:textId="77777777" w:rsidR="009615BD" w:rsidRPr="009615BD" w:rsidRDefault="009615BD" w:rsidP="009615BD">
      <w:r w:rsidRPr="009615BD">
        <w:t>A | B</w:t>
      </w:r>
    </w:p>
    <w:p w14:paraId="33E46D55" w14:textId="77777777" w:rsidR="009615BD" w:rsidRPr="009615BD" w:rsidRDefault="009615BD" w:rsidP="009615BD">
      <w:r w:rsidRPr="009615BD">
        <w:t>A -&gt; B</w:t>
      </w:r>
    </w:p>
    <w:p w14:paraId="5D43351C" w14:textId="77777777" w:rsidR="009615BD" w:rsidRPr="009615BD" w:rsidRDefault="009615BD" w:rsidP="009615BD">
      <w:r w:rsidRPr="009615BD">
        <w:t>A &lt;-&gt; B</w:t>
      </w:r>
    </w:p>
    <w:p w14:paraId="76596E33" w14:textId="77777777" w:rsidR="009615BD" w:rsidRPr="009615BD" w:rsidRDefault="009615BD" w:rsidP="009615BD">
      <w:r w:rsidRPr="009615BD">
        <w:t>(A | B) &amp; C</w:t>
      </w:r>
    </w:p>
    <w:p w14:paraId="3CA0BE5B" w14:textId="4ECE6DBC" w:rsidR="009615BD" w:rsidRPr="009615BD" w:rsidRDefault="009615BD" w:rsidP="009615BD">
      <w:r w:rsidRPr="009615BD">
        <w:t>!(A &amp; B)</w:t>
      </w:r>
    </w:p>
    <w:p w14:paraId="69E28C89" w14:textId="534C885A" w:rsidR="009615BD" w:rsidRPr="009615BD" w:rsidRDefault="009615BD" w:rsidP="00A30FDA">
      <w:pPr>
        <w:pStyle w:val="IntenseQuote"/>
      </w:pPr>
      <w:r w:rsidRPr="009615BD">
        <w:t>9. Open decisions for the team/client</w:t>
      </w:r>
    </w:p>
    <w:p w14:paraId="3336597C" w14:textId="77777777" w:rsidR="009615BD" w:rsidRPr="009615BD" w:rsidRDefault="009615BD" w:rsidP="009615BD">
      <w:r w:rsidRPr="009615BD">
        <w:t>- Whether to retain only single-letter variables permanently.</w:t>
      </w:r>
    </w:p>
    <w:p w14:paraId="589CF7AF" w14:textId="44CDA813" w:rsidR="009615BD" w:rsidRPr="009615BD" w:rsidRDefault="009615BD" w:rsidP="009615BD">
      <w:r w:rsidRPr="009615BD">
        <w:t>- Whether to support Unicode operators such as `¬`, `</w:t>
      </w:r>
      <w:r w:rsidRPr="009615BD">
        <w:rPr>
          <w:rFonts w:ascii="Cambria Math" w:hAnsi="Cambria Math" w:cs="Cambria Math"/>
        </w:rPr>
        <w:t>∧</w:t>
      </w:r>
      <w:r w:rsidRPr="009615BD">
        <w:t>`, `</w:t>
      </w:r>
      <w:r w:rsidRPr="009615BD">
        <w:rPr>
          <w:rFonts w:ascii="Cambria Math" w:hAnsi="Cambria Math" w:cs="Cambria Math"/>
        </w:rPr>
        <w:t>∨</w:t>
      </w:r>
      <w:r w:rsidRPr="009615BD">
        <w:t>`, `</w:t>
      </w:r>
      <w:r w:rsidRPr="009615BD">
        <w:rPr>
          <w:rFonts w:ascii="Aptos" w:hAnsi="Aptos" w:cs="Aptos"/>
        </w:rPr>
        <w:t>→</w:t>
      </w:r>
      <w:r w:rsidRPr="009615BD">
        <w:t>`, `</w:t>
      </w:r>
      <w:r w:rsidRPr="009615BD">
        <w:rPr>
          <w:rFonts w:ascii="Aptos" w:hAnsi="Aptos" w:cs="Aptos"/>
        </w:rPr>
        <w:t>↔</w:t>
      </w:r>
      <w:r w:rsidRPr="009615BD">
        <w:t>`.</w:t>
      </w:r>
    </w:p>
    <w:p w14:paraId="18D6DB14" w14:textId="77777777" w:rsidR="009615BD" w:rsidRPr="009615BD" w:rsidRDefault="009615BD" w:rsidP="009615BD">
      <w:r w:rsidRPr="009615BD">
        <w:t>- Whether the frontend should offer operator buttons in addition to direct typing.</w:t>
      </w:r>
    </w:p>
    <w:p w14:paraId="059F5454" w14:textId="77777777" w:rsidR="009615BD" w:rsidRPr="009615BD" w:rsidRDefault="009615BD" w:rsidP="009615BD"/>
    <w:p w14:paraId="2811B2EB" w14:textId="77777777" w:rsidR="00893FF5" w:rsidRDefault="00893FF5"/>
    <w:sectPr w:rsidR="00893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BD"/>
    <w:rsid w:val="00187915"/>
    <w:rsid w:val="00212AAE"/>
    <w:rsid w:val="00893FF5"/>
    <w:rsid w:val="009615BD"/>
    <w:rsid w:val="00A30FDA"/>
    <w:rsid w:val="00AD7AD4"/>
    <w:rsid w:val="00C3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9C0D"/>
  <w15:chartTrackingRefBased/>
  <w15:docId w15:val="{204AC7BE-335A-480E-9388-BA2E7C37F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1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1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5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1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Lehloma Moloi</dc:creator>
  <cp:keywords/>
  <dc:description/>
  <cp:lastModifiedBy>Lehloma Moloi</cp:lastModifiedBy>
  <cp:revision>2</cp:revision>
  <dcterms:created xsi:type="dcterms:W3CDTF">2026-08-23T02:35:00Z</dcterms:created>
  <dcterms:modified xsi:type="dcterms:W3CDTF">2026-08-23T03:44:00Z</dcterms:modified>
</cp:coreProperties>
</file>