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spacing w:after="240"/>
      </w:pPr>
      <w:r>
        <w:rPr>
          <w:b/>
          <w:bCs/>
          <w:rFonts w:ascii="Aptos" w:hAnsi="Aptos" w:cs="Aptos"/>
          <w:sz w:val="24"/>
          <w:szCs w:val="24"/>
        </w:rPr>
        <w:t xml:space="preserve">References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[1] A. K. Soni, I. L. Muthreja, and R. R. Yerpude, </w:t>
      </w:r>
      <w:r>
        <w:rPr>
          <w:i/>
          <w:iCs/>
          <w:rFonts w:ascii="Aptos" w:hAnsi="Aptos" w:cs="Aptos"/>
          <w:sz w:val="24"/>
          <w:szCs w:val="24"/>
        </w:rPr>
        <w:t xml:space="preserve">Principles and Practice in Mining Engineering</w:t>
      </w:r>
      <w:r>
        <w:rPr>
          <w:rFonts w:ascii="Aptos" w:hAnsi="Aptos" w:cs="Aptos"/>
          <w:sz w:val="24"/>
          <w:szCs w:val="24"/>
        </w:rPr>
        <w:t xml:space="preserve">, Boca Raton, FL, USA: CRC Press, 2024.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[2] T. Garcia-Calva, D. Morinigo-Sotelo, V. Fernandez-Cavero, and R. Romero-Troncoso, “Early detection of faults in induction motors: A review,” </w:t>
      </w:r>
      <w:r>
        <w:rPr>
          <w:i/>
          <w:iCs/>
          <w:rFonts w:ascii="Aptos" w:hAnsi="Aptos" w:cs="Aptos"/>
          <w:sz w:val="24"/>
          <w:szCs w:val="24"/>
        </w:rPr>
        <w:t xml:space="preserve">Energies</w:t>
      </w:r>
      <w:r>
        <w:rPr>
          <w:rFonts w:ascii="Aptos" w:hAnsi="Aptos" w:cs="Aptos"/>
          <w:sz w:val="24"/>
          <w:szCs w:val="24"/>
        </w:rPr>
        <w:t xml:space="preserve">, vol. 15, no. 21, p. 7855, 2022, doi: 10.3390/en15217855.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[3] M. Irfan et al., “A novel feature extraction and fault detection technique for the intelligent fault identification of water pump bearings,” </w:t>
      </w:r>
      <w:r>
        <w:rPr>
          <w:i/>
          <w:iCs/>
          <w:rFonts w:ascii="Aptos" w:hAnsi="Aptos" w:cs="Aptos"/>
          <w:sz w:val="24"/>
          <w:szCs w:val="24"/>
        </w:rPr>
        <w:t xml:space="preserve">Sensors</w:t>
      </w:r>
      <w:r>
        <w:rPr>
          <w:rFonts w:ascii="Aptos" w:hAnsi="Aptos" w:cs="Aptos"/>
          <w:sz w:val="24"/>
          <w:szCs w:val="24"/>
        </w:rPr>
        <w:t xml:space="preserve">, vol. 21, no. 12, p. 4225, 2021, doi: 10.3390/s21124225.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[4] A. Kadyrov, A. Kukesheva, M. Daribzhan, and A. Aidraliyev, “Development of a methodology for optimizing repair interval timing for mining equipment units,” </w:t>
      </w:r>
      <w:r>
        <w:rPr>
          <w:i/>
          <w:iCs/>
          <w:rFonts w:ascii="Aptos" w:hAnsi="Aptos" w:cs="Aptos"/>
          <w:sz w:val="24"/>
          <w:szCs w:val="24"/>
        </w:rPr>
        <w:t xml:space="preserve">Eng</w:t>
      </w:r>
      <w:r>
        <w:rPr>
          <w:rFonts w:ascii="Aptos" w:hAnsi="Aptos" w:cs="Aptos"/>
          <w:sz w:val="24"/>
          <w:szCs w:val="24"/>
        </w:rPr>
        <w:t xml:space="preserve">, vol. 6, no. 12, p. 362, 2025, doi: 10.3390/eng6120362.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[5] P. Nunes, J. Santos, and E. Rocha, “Challenges in predictive maintenance: A review,” </w:t>
      </w:r>
      <w:r>
        <w:rPr>
          <w:i/>
          <w:iCs/>
          <w:rFonts w:ascii="Aptos" w:hAnsi="Aptos" w:cs="Aptos"/>
          <w:sz w:val="24"/>
          <w:szCs w:val="24"/>
        </w:rPr>
        <w:t xml:space="preserve">CIRP J. Manuf. Sci. Technol.</w:t>
      </w:r>
      <w:r>
        <w:rPr>
          <w:rFonts w:ascii="Aptos" w:hAnsi="Aptos" w:cs="Aptos"/>
          <w:sz w:val="24"/>
          <w:szCs w:val="24"/>
        </w:rPr>
        <w:t xml:space="preserve">, vol. 40, pp. 53-67, 2023, doi: 10.1016/j.cirpj.2022.11.004.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[6] “IEEE Xplore document 8575146.” </w:t>
      </w:r>
      <w:r>
        <w:rPr>
          <w:rFonts w:ascii="Aptos" w:hAnsi="Aptos" w:cs="Aptos"/>
          <w:sz w:val="24"/>
          <w:szCs w:val="24"/>
        </w:rPr>
        <w:t xml:space="preserve">IEEE Xplore</w:t>
      </w:r>
      <w:r>
        <w:rPr>
          <w:rFonts w:ascii="Aptos" w:hAnsi="Aptos" w:cs="Aptos"/>
          <w:sz w:val="24"/>
          <w:szCs w:val="24"/>
        </w:rPr>
        <w:t xml:space="preserve">. Accessed: Mar. 20, 2026. [Online.] Available: https://ieeexplore.ieee.org/stamp/stamp.jsp?tp=&amp;arnumber=8575146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[7] S. E. Pandarakone, Y. Mizuno, and H. Nakamura, “A comparative study between machine learning algorithm and artificial intelligence neural network in detecting minor bearing fault of induction motors,” </w:t>
      </w:r>
      <w:r>
        <w:rPr>
          <w:i/>
          <w:iCs/>
          <w:rFonts w:ascii="Aptos" w:hAnsi="Aptos" w:cs="Aptos"/>
          <w:sz w:val="24"/>
          <w:szCs w:val="24"/>
        </w:rPr>
        <w:t xml:space="preserve">Energies</w:t>
      </w:r>
      <w:r>
        <w:rPr>
          <w:rFonts w:ascii="Aptos" w:hAnsi="Aptos" w:cs="Aptos"/>
          <w:sz w:val="24"/>
          <w:szCs w:val="24"/>
        </w:rPr>
        <w:t xml:space="preserve">, vol. 12, no. 11, p. 2105, 2019, doi: 10.3390/en12112105.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[8] A. Glowacz et al., “Detection of deterioration of three-phase induction motor using vibration signals,” </w:t>
      </w:r>
      <w:r>
        <w:rPr>
          <w:i/>
          <w:iCs/>
          <w:rFonts w:ascii="Aptos" w:hAnsi="Aptos" w:cs="Aptos"/>
          <w:sz w:val="24"/>
          <w:szCs w:val="24"/>
        </w:rPr>
        <w:t xml:space="preserve">Meas. Sci. Rev.</w:t>
      </w:r>
      <w:r>
        <w:rPr>
          <w:rFonts w:ascii="Aptos" w:hAnsi="Aptos" w:cs="Aptos"/>
          <w:sz w:val="24"/>
          <w:szCs w:val="24"/>
        </w:rPr>
        <w:t xml:space="preserve">, vol. 19, no. 6, pp. 241-249, 2019, doi: 10.2478/msr-2019-0031.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[9] A. R. Askari, L. Gelman, and A. D. Ball, “Novel investigation of influence of torsional load on unbalance fault indicators for induction motors,” </w:t>
      </w:r>
      <w:r>
        <w:rPr>
          <w:i/>
          <w:iCs/>
          <w:rFonts w:ascii="Aptos" w:hAnsi="Aptos" w:cs="Aptos"/>
          <w:sz w:val="24"/>
          <w:szCs w:val="24"/>
        </w:rPr>
        <w:t xml:space="preserve">Sensors</w:t>
      </w:r>
      <w:r>
        <w:rPr>
          <w:rFonts w:ascii="Aptos" w:hAnsi="Aptos" w:cs="Aptos"/>
          <w:sz w:val="24"/>
          <w:szCs w:val="24"/>
        </w:rPr>
        <w:t xml:space="preserve">, vol. 25, no. 7, p. 2084, 2025, doi: 10.3390/s25072084.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[10] Espressif Systems, “ESP32 Datasheet,” ESP32, 2025.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[11] D. Nedelkovski, “Arduino and MPU6050 Accelerometer and Gyroscope Tutorial.” </w:t>
      </w:r>
      <w:r>
        <w:rPr>
          <w:rFonts w:ascii="Aptos" w:hAnsi="Aptos" w:cs="Aptos"/>
          <w:sz w:val="24"/>
          <w:szCs w:val="24"/>
        </w:rPr>
        <w:t xml:space="preserve">HowToMechatronics</w:t>
      </w:r>
      <w:r>
        <w:rPr>
          <w:rFonts w:ascii="Aptos" w:hAnsi="Aptos" w:cs="Aptos"/>
          <w:sz w:val="24"/>
          <w:szCs w:val="24"/>
        </w:rPr>
        <w:t xml:space="preserve">. Accessed: Mar. 20, 2026. [Online.] Available: https://howtomechatronics.com/tutorials/arduino/arduino-and-mpu6050-accelerometer-and-gyroscope-tutorial/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[12] ODG, “Is the MPU6050 Still Worth It? Our Review.” </w:t>
      </w:r>
      <w:r>
        <w:rPr>
          <w:rFonts w:ascii="Aptos" w:hAnsi="Aptos" w:cs="Aptos"/>
          <w:sz w:val="24"/>
          <w:szCs w:val="24"/>
        </w:rPr>
        <w:t xml:space="preserve">Origin IC</w:t>
      </w:r>
      <w:r>
        <w:rPr>
          <w:rFonts w:ascii="Aptos" w:hAnsi="Aptos" w:cs="Aptos"/>
          <w:sz w:val="24"/>
          <w:szCs w:val="24"/>
        </w:rPr>
        <w:t xml:space="preserve">. Accessed: Mar. 20, 2026. [Online.] Available: https://www.origin-ic.com/blog/is-the-mpu6050-still-worth-it-our-review/48162#heading-2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[13] AMD Machines, “Thermal Monitoring for Predictive Maintenance.” </w:t>
      </w:r>
      <w:r>
        <w:rPr>
          <w:rFonts w:ascii="Aptos" w:hAnsi="Aptos" w:cs="Aptos"/>
          <w:sz w:val="24"/>
          <w:szCs w:val="24"/>
        </w:rPr>
        <w:t xml:space="preserve">AMD Machines</w:t>
      </w:r>
      <w:r>
        <w:rPr>
          <w:rFonts w:ascii="Aptos" w:hAnsi="Aptos" w:cs="Aptos"/>
          <w:sz w:val="24"/>
          <w:szCs w:val="24"/>
        </w:rPr>
        <w:t xml:space="preserve">. Accessed: Mar. 20, 2026. [Online.] Available: https://amdmachines.com/blog/thermal-monitoring-for-predictive-maintenance/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[14] AllPCB, “DS18B20 Temperature Sensor: Pros and Cons.” </w:t>
      </w:r>
      <w:r>
        <w:rPr>
          <w:rFonts w:ascii="Aptos" w:hAnsi="Aptos" w:cs="Aptos"/>
          <w:sz w:val="24"/>
          <w:szCs w:val="24"/>
        </w:rPr>
        <w:t xml:space="preserve">AllPCB</w:t>
      </w:r>
      <w:r>
        <w:rPr>
          <w:rFonts w:ascii="Aptos" w:hAnsi="Aptos" w:cs="Aptos"/>
          <w:sz w:val="24"/>
          <w:szCs w:val="24"/>
        </w:rPr>
        <w:t xml:space="preserve">. Accessed: Mar. 20, 2026. [Online.] Available: https://www.allpcb.com/allelectrohub/ds18b20-temperature-sensor-pros-and-cons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[15] P. Kolok et al., “Low-Cost IoT-Based Predictive Maintenance Using Vibration,” </w:t>
      </w:r>
      <w:r>
        <w:rPr>
          <w:i/>
          <w:iCs/>
          <w:rFonts w:ascii="Aptos" w:hAnsi="Aptos" w:cs="Aptos"/>
          <w:sz w:val="24"/>
          <w:szCs w:val="24"/>
        </w:rPr>
        <w:t xml:space="preserve">Sensors</w:t>
      </w:r>
      <w:r>
        <w:rPr>
          <w:rFonts w:ascii="Aptos" w:hAnsi="Aptos" w:cs="Aptos"/>
          <w:sz w:val="24"/>
          <w:szCs w:val="24"/>
        </w:rPr>
        <w:t xml:space="preserve">, vol. 25, no. 21, p. 6610, 2025, doi: 10.3390/s25216610.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[16] H. Lifsitch et al., “Vibration sensor dataset for estimating fan coil motor health,” </w:t>
      </w:r>
      <w:r>
        <w:rPr>
          <w:i/>
          <w:iCs/>
          <w:rFonts w:ascii="Aptos" w:hAnsi="Aptos" w:cs="Aptos"/>
          <w:sz w:val="24"/>
          <w:szCs w:val="24"/>
        </w:rPr>
        <w:t xml:space="preserve">Data in Brief</w:t>
      </w:r>
      <w:r>
        <w:rPr>
          <w:rFonts w:ascii="Aptos" w:hAnsi="Aptos" w:cs="Aptos"/>
          <w:sz w:val="24"/>
          <w:szCs w:val="24"/>
        </w:rPr>
        <w:t xml:space="preserve">, vol. 56, p. 110866, 2024, doi: 10.1016/j.dib.2024.110866.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[17] S. J. Bruinsma, R. D. Geertsma, R. Loendersloot, and T. Tinga, “Motor current and vibration monitoring dataset for various faults in an E-motor-driven centrifugal pump,” </w:t>
      </w:r>
      <w:r>
        <w:rPr>
          <w:i/>
          <w:iCs/>
          <w:rFonts w:ascii="Aptos" w:hAnsi="Aptos" w:cs="Aptos"/>
          <w:sz w:val="24"/>
          <w:szCs w:val="24"/>
        </w:rPr>
        <w:t xml:space="preserve">Data in Brief</w:t>
      </w:r>
      <w:r>
        <w:rPr>
          <w:rFonts w:ascii="Aptos" w:hAnsi="Aptos" w:cs="Aptos"/>
          <w:sz w:val="24"/>
          <w:szCs w:val="24"/>
        </w:rPr>
        <w:t xml:space="preserve">, vol. 52, p. 109987, 2024, doi: 10.1016/j.dib.2023.109987.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[18] Rumn, “Softmax, but Explained to a High Schooler.” </w:t>
      </w:r>
      <w:r>
        <w:rPr>
          <w:rFonts w:ascii="Aptos" w:hAnsi="Aptos" w:cs="Aptos"/>
          <w:sz w:val="24"/>
          <w:szCs w:val="24"/>
        </w:rPr>
        <w:t xml:space="preserve">Medium</w:t>
      </w:r>
      <w:r>
        <w:rPr>
          <w:rFonts w:ascii="Aptos" w:hAnsi="Aptos" w:cs="Aptos"/>
          <w:sz w:val="24"/>
          <w:szCs w:val="24"/>
        </w:rPr>
        <w:t xml:space="preserve">. Accessed: Mar. 20, 2026. [Online.] Available: https://rumn.medium.com/softmax-but-explained-to-a-high-schooler-77f413a8fc09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[19] Vibromera, “What Are Bearing Fault Frequencies? Defect Detection.” </w:t>
      </w:r>
      <w:r>
        <w:rPr>
          <w:rFonts w:ascii="Aptos" w:hAnsi="Aptos" w:cs="Aptos"/>
          <w:sz w:val="24"/>
          <w:szCs w:val="24"/>
        </w:rPr>
        <w:t xml:space="preserve">Vibromera</w:t>
      </w:r>
      <w:r>
        <w:rPr>
          <w:rFonts w:ascii="Aptos" w:hAnsi="Aptos" w:cs="Aptos"/>
          <w:sz w:val="24"/>
          <w:szCs w:val="24"/>
        </w:rPr>
        <w:t xml:space="preserve">. Accessed: Mar. 20, 2026. [Online.] Available: https://vibromera.eu/glossary/bearing-fault-frequencies/</w:t>
      </w:r>
    </w:p>
    <w:p>
      <w:pPr>
        <w:ind w:left="720" w:hanging="360"/>
        <w:spacing w:after="120"/>
      </w:pPr>
      <w:r>
        <w:rPr>
          <w:rFonts w:ascii="Aptos" w:hAnsi="Aptos" w:cs="Aptos"/>
          <w:sz w:val="24"/>
          <w:szCs w:val="24"/>
        </w:rPr>
        <w:t xml:space="preserve">[20] Government of Western Australia, “Risk Assessment Matrix Provided by the Department of Environment Regulation.” </w:t>
      </w:r>
      <w:r>
        <w:rPr>
          <w:rFonts w:ascii="Aptos" w:hAnsi="Aptos" w:cs="Aptos"/>
          <w:sz w:val="24"/>
          <w:szCs w:val="24"/>
        </w:rPr>
        <w:t xml:space="preserve">WA Health</w:t>
      </w:r>
      <w:r>
        <w:rPr>
          <w:rFonts w:ascii="Aptos" w:hAnsi="Aptos" w:cs="Aptos"/>
          <w:sz w:val="24"/>
          <w:szCs w:val="24"/>
        </w:rPr>
        <w:t xml:space="preserve">. Accessed: Mar. 20, 2026. [Online.] Available: https://www.health.wa.gov.au/~/media/Files/Corporate/general%20documents/Clandestine%20drug%20labs/PDF/Risk-Assessment-Matrix-Provided-by-the-Department-of-Environment-Regulation.pdf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Aptos">
    <w:family w:val="swiss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4"/>
        <w:szCs w:val="24"/>
      </w:rPr>
    </w:rPrDefault>
    <w:pPrDefault>
      <w:pPr/>
    </w:pPrDefault>
  </w:docDefaults>
  <w:style w:type="paragraph" w:default="1" w:styleId="Normal">
    <w:name w:val="Normal"/>
    <w:qFormat/>
    <w:rPr>
      <w:rFonts w:ascii="Aptos" w:hAnsi="Aptos" w:cs="Aptos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>OpenAI Codex</dc:creator>
  <cp:lastModifiedBy>OpenAI Codex</cp:lastModifiedBy>
  <dcterms:created xsi:type="dcterms:W3CDTF">2026-03-20T08:37:33Z</dcterms:created>
  <dcterms:modified xsi:type="dcterms:W3CDTF">2026-03-20T08:37:33Z</dcterms:modified>
</cp:coreProperties>
</file>