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26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26 — La TVA par produit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2026-09-01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rPr>
          <w:b/>
          <w:bCs/>
        </w:rPr>
        <w:t xml:space="preserve">Le problème.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StatsService</w:t>
      </w:r>
      <w:r>
        <w:t xml:space="preserve"> et </w:t>
      </w:r>
      <w:r>
        <w:rPr>
          <w:rFonts w:ascii="Consolas" w:cs="Consolas" w:eastAsia="Consolas" w:hAnsi="Consolas"/>
          <w:color w:val="8A3B12"/>
        </w:rPr>
        <w:t xml:space="preserve">BackofficeService</w:t>
      </w:r>
      <w:r>
        <w:t xml:space="preserve"> dérivaient tous deux le CA</w:t>
      </w:r>
    </w:p>
    <w:p>
      <w:pPr>
        <w:spacing w:after="60" w:before="60"/>
      </w:pPr>
      <w:r>
        <w:t xml:space="preserve">HT d'un taux unique figé au démarrage depuis </w:t>
      </w:r>
      <w:r>
        <w:rPr>
          <w:rFonts w:ascii="Consolas" w:cs="Consolas" w:eastAsia="Consolas" w:hAnsi="Consolas"/>
          <w:color w:val="8A3B12"/>
        </w:rPr>
        <w:t xml:space="preserve">app.reporting.vatRate</w:t>
      </w:r>
      <w:r>
        <w:t xml:space="preserve"> (défaut</w:t>
      </w:r>
    </w:p>
    <w:p>
      <w:pPr>
        <w:spacing w:after="60" w:before="60"/>
      </w:pPr>
      <w:r>
        <w:t xml:space="preserve">0.10). C'est juste tant qu'une buvette ne vend que des sandwichs. Dès qu'elle</w:t>
      </w:r>
    </w:p>
    <w:p>
      <w:pPr>
        <w:spacing w:after="60" w:before="60"/>
      </w:pPr>
      <w:r>
        <w:t xml:space="preserve">sert une bière — c'est-à-dire toujours — le chiffre est faux, et une déclaration</w:t>
      </w:r>
    </w:p>
    <w:p>
      <w:pPr>
        <w:spacing w:after="60" w:before="60"/>
      </w:pPr>
      <w:r>
        <w:t xml:space="preserve">de TVA ne se remplit de toute façon pas avec une moyenne : elle se remplit</w:t>
      </w:r>
    </w:p>
    <w:p>
      <w:pPr>
        <w:spacing w:after="60" w:before="60"/>
      </w:pPr>
      <w:r>
        <w:rPr>
          <w:b/>
          <w:bCs/>
        </w:rPr>
        <w:t xml:space="preserve">ligne par taux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Le choix : points de base entiers, pas de décimaux.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vatRateBps</w:t>
      </w:r>
      <w:r>
        <w:t xml:space="preserve"> vaut 550,</w:t>
      </w:r>
    </w:p>
    <w:p>
      <w:pPr>
        <w:spacing w:after="60" w:before="60"/>
      </w:pPr>
      <w:r>
        <w:t xml:space="preserve">1000 ou 2000. Additionner des </w:t>
      </w:r>
      <w:r>
        <w:rPr>
          <w:rFonts w:ascii="Consolas" w:cs="Consolas" w:eastAsia="Consolas" w:hAnsi="Consolas"/>
          <w:color w:val="8A3B12"/>
        </w:rPr>
        <w:t xml:space="preserve">0.055</w:t>
      </w:r>
      <w:r>
        <w:t xml:space="preserve"> sur cinq mille commandes par soir fait</w:t>
      </w:r>
    </w:p>
    <w:p>
      <w:pPr>
        <w:spacing w:after="60" w:before="60"/>
      </w:pPr>
      <w:r>
        <w:t xml:space="preserve">dériver le total de quelques centimes ; une comptabilité qui ne tombe pas juste</w:t>
      </w:r>
    </w:p>
    <w:p>
      <w:pPr>
        <w:spacing w:after="60" w:before="60"/>
      </w:pPr>
      <w:r>
        <w:t xml:space="preserve">n'a aucune valeur. Tout le calcul reste en entiers jusqu'à l'affichage.</w:t>
      </w:r>
    </w:p>
    <w:p>
      <w:pPr>
        <w:spacing w:after="60" w:before="60"/>
      </w:pPr>
      <w:r>
        <w:rPr>
          <w:b/>
          <w:bCs/>
        </w:rPr>
        <w:t xml:space="preserve">Le choix : le taux est figé sur la ligne de commande.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OrderItem.vatRateBps</w:t>
      </w:r>
    </w:p>
    <w:p>
      <w:pPr>
        <w:spacing w:after="60" w:before="60"/>
      </w:pPr>
      <w:r>
        <w:t xml:space="preserve">duplique </w:t>
      </w:r>
      <w:r>
        <w:rPr>
          <w:rFonts w:ascii="Consolas" w:cs="Consolas" w:eastAsia="Consolas" w:hAnsi="Consolas"/>
          <w:color w:val="8A3B12"/>
        </w:rPr>
        <w:t xml:space="preserve">Product.vatRateBps</w:t>
      </w:r>
      <w:r>
        <w:t xml:space="preserve"> au moment de la commande, exactement comme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unitPriceCentsSnapshot</w:t>
      </w:r>
      <w:r>
        <w:t xml:space="preserve"> duplique le prix. Sans cette copie, corriger le taux</w:t>
      </w:r>
    </w:p>
    <w:p>
      <w:pPr>
        <w:spacing w:after="60" w:before="60"/>
      </w:pPr>
      <w:r>
        <w:t xml:space="preserve">d'une bière en octobre réécrirait la TVA déclarée en septembre — et une</w:t>
      </w:r>
    </w:p>
    <w:p>
      <w:pPr>
        <w:spacing w:after="60" w:before="60"/>
      </w:pPr>
      <w:r>
        <w:t xml:space="preserve">déclaration déjà déposée deviendrait introuvable dans l'application.</w:t>
      </w:r>
    </w:p>
    <w:p>
      <w:pPr>
        <w:spacing w:after="60" w:before="60"/>
      </w:pPr>
      <w:r>
        <w:rPr>
          <w:b/>
          <w:bCs/>
        </w:rPr>
        <w:t xml:space="preserve">Le choix : `DEFAULT 1000` dans la migration.</w:t>
      </w:r>
      <w:r>
        <w:t xml:space="preserve"> Toutes les lignes existantes</w:t>
      </w:r>
    </w:p>
    <w:p>
      <w:pPr>
        <w:spacing w:after="60" w:before="60"/>
      </w:pPr>
      <w:r>
        <w:t xml:space="preserve">reprennent le taux qui servait effectivement à les déclarer. La migration ne</w:t>
      </w:r>
    </w:p>
    <w:p>
      <w:pPr>
        <w:spacing w:after="60" w:before="60"/>
      </w:pPr>
      <w:r>
        <w:t xml:space="preserve">change donc AUCUN chiffre affiché : elle rend seulement les suivants justes.</w:t>
      </w:r>
    </w:p>
    <w:p>
      <w:pPr>
        <w:spacing w:after="60" w:before="60"/>
      </w:pPr>
      <w:r>
        <w:t xml:space="preserve">Une migration comptable qui réécrit le passé est une migration qu'on ne peut pas</w:t>
      </w:r>
    </w:p>
    <w:p>
      <w:pPr>
        <w:spacing w:after="60" w:before="60"/>
      </w:pPr>
      <w:r>
        <w:t xml:space="preserve">déployer.</w:t>
      </w:r>
    </w:p>
    <w:p>
      <w:pPr>
        <w:spacing w:after="60" w:before="60"/>
      </w:pPr>
      <w:r>
        <w:rPr>
          <w:b/>
          <w:bCs/>
        </w:rPr>
        <w:t xml:space="preserve">Le choix : la remise au prorata.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ventilerTva(lignes, remise)</w:t>
      </w:r>
      <w:r>
        <w:t xml:space="preserve"> répartit la</w:t>
      </w:r>
    </w:p>
    <w:p>
      <w:pPr>
        <w:spacing w:after="60" w:before="60"/>
      </w:pPr>
      <w:r>
        <w:t xml:space="preserve">remise fidélité proportionnellement au poids de chaque taux. C'est la règle</w:t>
      </w:r>
    </w:p>
    <w:p>
      <w:pPr>
        <w:spacing w:after="60" w:before="60"/>
      </w:pPr>
      <w:r>
        <w:t xml:space="preserve">d'une remise commerciale non affectée. L'imputer entièrement sur le taux le plus</w:t>
      </w:r>
    </w:p>
    <w:p>
      <w:pPr>
        <w:spacing w:after="60" w:before="60"/>
      </w:pPr>
      <w:r>
        <w:t xml:space="preserve">élevé arrangerait le club et minorerait la TVA due — donc non. Le reste</w:t>
      </w:r>
    </w:p>
    <w:p>
      <w:pPr>
        <w:spacing w:after="60" w:before="60"/>
      </w:pPr>
      <w:r>
        <w:t xml:space="preserve">d'arrondi va à la tranche la plus lourde : **la somme des tranches redonne</w:t>
      </w:r>
    </w:p>
    <w:p>
      <w:pPr>
        <w:spacing w:after="60" w:before="60"/>
      </w:pPr>
      <w:r>
        <w:t xml:space="preserve">toujours le total exact**, invariant vérifié par un test qui balaie plusieurs</w:t>
      </w:r>
    </w:p>
    <w:p>
      <w:pPr>
        <w:spacing w:after="60" w:before="60"/>
      </w:pPr>
      <w:r>
        <w:t xml:space="preserve">remises.</w:t>
      </w:r>
    </w:p>
    <w:p>
      <w:pPr>
        <w:spacing w:after="60" w:before="60"/>
      </w:pPr>
      <w:r>
        <w:rPr>
          <w:b/>
          <w:bCs/>
        </w:rPr>
        <w:t xml:space="preserve">Le choix : `ventilerSurTotal(lignes, ttcRéel)`.</w:t>
      </w:r>
      <w:r>
        <w:t xml:space="preserve"> Le montant encaissé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Order.totalCents</w:t>
      </w:r>
      <w:r>
        <w:t xml:space="preserve">, agrégé) fait foi ; les lignes ne servent qu'à le</w:t>
      </w:r>
    </w:p>
    <w:p>
      <w:pPr>
        <w:spacing w:after="60" w:before="60"/>
      </w:pPr>
      <w:r>
        <w:t xml:space="preserve">*répartir*. On passe donc l'écart (</w:t>
      </w:r>
      <w:r>
        <w:rPr>
          <w:rFonts w:ascii="Consolas" w:cs="Consolas" w:eastAsia="Consolas" w:hAnsi="Consolas"/>
          <w:color w:val="8A3B12"/>
        </w:rPr>
        <w:t xml:space="preserve">somme des lignes − encaissé</w:t>
      </w:r>
      <w:r>
        <w:t xml:space="preserve">) comme remise.</w:t>
      </w:r>
    </w:p>
    <w:p>
      <w:pPr>
        <w:spacing w:after="60" w:before="60"/>
      </w:pPr>
      <w:r>
        <w:t xml:space="preserve">Cela absorbe la remise fidélité </w:t>
      </w:r>
      <w:r>
        <w:rPr>
          <w:b/>
          <w:bCs/>
        </w:rPr>
        <w:t xml:space="preserve">et</w:t>
      </w:r>
      <w:r>
        <w:t xml:space="preserve"> toute dérive éventuelle, et garantit que</w:t>
      </w:r>
    </w:p>
    <w:p>
      <w:pPr>
        <w:spacing w:after="60" w:before="60"/>
      </w:pPr>
      <w:r>
        <w:t xml:space="preserve">le pied du tableau égale le total encaissé. Si les lignes sont introuvables</w:t>
      </w:r>
    </w:p>
    <w:p>
      <w:pPr>
        <w:spacing w:after="60" w:before="60"/>
      </w:pPr>
      <w:r>
        <w:t xml:space="preserve">alors que de l'argent est entré (commande ancienne, produit supprimé), tout est</w:t>
      </w:r>
    </w:p>
    <w:p>
      <w:pPr>
        <w:spacing w:after="60" w:before="60"/>
      </w:pPr>
      <w:r>
        <w:t xml:space="preserve">porté au taux par défaut plutôt que disparaître : **un CA sous-déclaré est pire</w:t>
      </w:r>
    </w:p>
    <w:p>
      <w:pPr>
        <w:spacing w:after="60" w:before="60"/>
      </w:pPr>
      <w:r>
        <w:t xml:space="preserve">qu'un CA mal ventilé.**</w:t>
      </w:r>
    </w:p>
    <w:p>
      <w:pPr>
        <w:spacing w:after="60" w:before="60"/>
      </w:pPr>
      <w:r>
        <w:rPr>
          <w:b/>
          <w:bCs/>
        </w:rPr>
        <w:t xml:space="preserve">Le choix : du SQL direct pour la ventilation par événement.</w:t>
      </w:r>
      <w:r>
        <w:t xml:space="preserve"> Prisma ne sait</w:t>
      </w:r>
    </w:p>
    <w:p>
      <w:pPr>
        <w:spacing w:after="60" w:before="60"/>
      </w:pPr>
      <w:r>
        <w:t xml:space="preserve">pas grouper sur un champ de la relation parente (</w:t>
      </w:r>
      <w:r>
        <w:rPr>
          <w:rFonts w:ascii="Consolas" w:cs="Consolas" w:eastAsia="Consolas" w:hAnsi="Consolas"/>
          <w:color w:val="8A3B12"/>
        </w:rPr>
        <w:t xml:space="preserve">order.eventId</w:t>
      </w:r>
      <w:r>
        <w:t xml:space="preserve">), et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StatsService.lignesParEvenement()</w:t>
      </w:r>
      <w:r>
        <w:t xml:space="preserve"> a besoin de (événement × taux) en une passe.</w:t>
      </w:r>
    </w:p>
    <w:p>
      <w:pPr>
        <w:spacing w:after="60" w:before="60"/>
      </w:pPr>
      <w:r>
        <w:t xml:space="preserve">L'alternative — une requête </w:t>
      </w:r>
      <w:r>
        <w:rPr>
          <w:rFonts w:ascii="Consolas" w:cs="Consolas" w:eastAsia="Consolas" w:hAnsi="Consolas"/>
          <w:color w:val="8A3B12"/>
        </w:rPr>
        <w:t xml:space="preserve">groupBy</w:t>
      </w:r>
      <w:r>
        <w:t xml:space="preserve"> par événement — multiplierait les</w:t>
      </w:r>
    </w:p>
    <w:p>
      <w:pPr>
        <w:spacing w:after="60" w:before="60"/>
      </w:pPr>
      <w:r>
        <w:t xml:space="preserve">allers-retours par le nombre de matchs de la saison. </w:t>
      </w:r>
      <w:r>
        <w:rPr>
          <w:rFonts w:ascii="Consolas" w:cs="Consolas" w:eastAsia="Consolas" w:hAnsi="Consolas"/>
          <w:color w:val="8A3B12"/>
        </w:rPr>
        <w:t xml:space="preserve">SUM(...)::bigint</w:t>
      </w:r>
      <w:r>
        <w:t xml:space="preserve"> puis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Number()</w:t>
      </w:r>
      <w:r>
        <w:t xml:space="preserve"> : la somme d'une saison dépasse un entier 32 bits bien avant</w:t>
      </w:r>
    </w:p>
    <w:p>
      <w:pPr>
        <w:spacing w:after="60" w:before="60"/>
      </w:pPr>
      <w:r>
        <w:t xml:space="preserve">d'approcher la limite d'un nombre JavaScript.</w:t>
      </w:r>
    </w:p>
    <w:p>
      <w:pPr>
        <w:spacing w:after="60" w:before="60"/>
      </w:pPr>
      <w:r>
        <w:rPr>
          <w:b/>
          <w:bCs/>
        </w:rPr>
        <w:t xml:space="preserve">La limite assumée.</w:t>
      </w:r>
      <w:r>
        <w:t xml:space="preserve"> Les colonnes « CA HT » des tableaux *par journée* et *par</w:t>
      </w:r>
    </w:p>
    <w:p>
      <w:pPr>
        <w:spacing w:after="60" w:before="60"/>
      </w:pPr>
      <w:r>
        <w:t xml:space="preserve">tranche* sont réparties au prorata du taux moyen de la période, pas ventilées</w:t>
      </w:r>
    </w:p>
    <w:p>
      <w:pPr>
        <w:spacing w:after="60" w:before="60"/>
      </w:pPr>
      <w:r>
        <w:t xml:space="preserve">exactement. Descendre la ventilation jusqu'à chaque journée demanderait de</w:t>
      </w:r>
    </w:p>
    <w:p>
      <w:pPr>
        <w:spacing w:after="60" w:before="60"/>
      </w:pPr>
      <w:r>
        <w:t xml:space="preserve">ramener les lignes de trente jours de service — des centaines de milliers de</w:t>
      </w:r>
    </w:p>
    <w:p>
      <w:pPr>
        <w:spacing w:after="60" w:before="60"/>
      </w:pPr>
      <w:r>
        <w:t xml:space="preserve">rangs — pour une colonne indicative. Le détail exact vit dans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revenue.vatBreakdown</w:t>
      </w:r>
      <w:r>
        <w:t xml:space="preserve">, et l'interface dit lequel des deux sert à déclarer.</w:t>
      </w:r>
    </w:p>
    <w:p>
      <w:pPr>
        <w:spacing w:after="60" w:before="60"/>
      </w:pPr>
      <w:r>
        <w:rPr>
          <w:b/>
          <w:bCs/>
        </w:rPr>
        <w:t xml:space="preserve">Réglage supprimé.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REPORTING_VAT_RATE</w:t>
      </w:r>
      <w:r>
        <w:t xml:space="preserve"> / </w:t>
      </w:r>
      <w:r>
        <w:rPr>
          <w:rFonts w:ascii="Consolas" w:cs="Consolas" w:eastAsia="Consolas" w:hAnsi="Consolas"/>
          <w:color w:val="8A3B12"/>
        </w:rPr>
        <w:t xml:space="preserve">app.reporting.vatRate</w:t>
      </w:r>
      <w:r>
        <w:t xml:space="preserve"> n'existe</w:t>
      </w:r>
    </w:p>
    <w:p>
      <w:pPr>
        <w:spacing w:after="60" w:before="60"/>
      </w:pPr>
      <w:r>
        <w:t xml:space="preserve">plus. Un taux global n'a plus de sens et l'oublier en production redonnerait un</w:t>
      </w:r>
    </w:p>
    <w:p>
      <w:pPr>
        <w:spacing w:after="60" w:before="60"/>
      </w:pPr>
      <w:r>
        <w:t xml:space="preserve">faux chiffre silencieux. Rien à retirer côté Railway : la variable n'y était pas</w:t>
      </w:r>
    </w:p>
    <w:p>
      <w:pPr>
        <w:spacing w:after="60" w:before="60"/>
      </w:pPr>
      <w:r>
        <w:t xml:space="preserve">définie.</w:t>
      </w:r>
    </w:p>
    <w:p>
      <w:pPr>
        <w:spacing w:after="60" w:before="60"/>
      </w:pPr>
      <w:r>
        <w:rPr>
          <w:b/>
          <w:bCs/>
        </w:rPr>
        <w:t xml:space="preserve">Où se trouve la vérité.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backend/src/common/helpers/tva.ts</w:t>
      </w:r>
      <w:r>
        <w:t xml:space="preserve"> côté serveur,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apps/admin/src/lib/tva.ts</w:t>
      </w:r>
      <w:r>
        <w:t xml:space="preserve"> côté interface. Les deux listes de taux doivent</w:t>
      </w:r>
    </w:p>
    <w:p>
      <w:pPr>
        <w:spacing w:after="60" w:before="60"/>
      </w:pPr>
      <w:r>
        <w:t xml:space="preserve">rester synchronisées ; toute modification de l'une se reporte à l'autre.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26 — La TVA par produit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2026-10-11T08:55:29.932Z</dcterms:created>
  <dcterms:modified xsi:type="dcterms:W3CDTF">2026-10-11T08:55:29.932Z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